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="74" w:tblpY="-456"/>
        <w:tblW w:w="0" w:type="auto"/>
        <w:tblLook w:val="04A0"/>
      </w:tblPr>
      <w:tblGrid>
        <w:gridCol w:w="9180"/>
      </w:tblGrid>
      <w:tr w:rsidR="00542E61" w:rsidTr="005767D7">
        <w:tc>
          <w:tcPr>
            <w:tcW w:w="9180" w:type="dxa"/>
          </w:tcPr>
          <w:p w:rsidR="00542E61" w:rsidRDefault="00542E61" w:rsidP="005767D7"/>
          <w:p w:rsidR="00542E61" w:rsidRPr="00076FBB" w:rsidRDefault="00542E61" w:rsidP="005767D7">
            <w:pPr>
              <w:ind w:left="-250" w:firstLine="2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FICHE ACTION : Transport</w:t>
            </w:r>
            <w:r w:rsidR="0025164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des produits agricoles, agroalimentaires et de l’artisanat</w:t>
            </w:r>
          </w:p>
          <w:p w:rsidR="00542E61" w:rsidRDefault="00542E61" w:rsidP="005767D7"/>
        </w:tc>
      </w:tr>
    </w:tbl>
    <w:p w:rsidR="00076FBB" w:rsidRDefault="00076FBB"/>
    <w:p w:rsidR="00AA3C3B" w:rsidRDefault="00AA3C3B" w:rsidP="00076FB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A3C3B" w:rsidRPr="000616DD" w:rsidRDefault="00AA3C3B" w:rsidP="00C9765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Définition</w:t>
      </w:r>
      <w:r w:rsidRPr="000616DD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3B427A" w:rsidRDefault="00AA3C3B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Il s’agit d</w:t>
      </w:r>
      <w:r w:rsidR="009E6E6D">
        <w:rPr>
          <w:rFonts w:asciiTheme="majorBidi" w:hAnsiTheme="majorBidi" w:cstheme="majorBidi"/>
          <w:sz w:val="24"/>
          <w:szCs w:val="24"/>
        </w:rPr>
        <w:t>’une subvention destinée</w:t>
      </w:r>
      <w:r w:rsidR="00B110BC">
        <w:rPr>
          <w:rFonts w:asciiTheme="majorBidi" w:hAnsiTheme="majorBidi" w:cstheme="majorBidi"/>
          <w:sz w:val="24"/>
          <w:szCs w:val="24"/>
        </w:rPr>
        <w:t xml:space="preserve"> aux exportateurs tunisiens et accordée au </w:t>
      </w:r>
      <w:r w:rsidR="006C3A0D">
        <w:rPr>
          <w:rFonts w:asciiTheme="majorBidi" w:hAnsiTheme="majorBidi" w:cstheme="majorBidi"/>
          <w:sz w:val="24"/>
          <w:szCs w:val="24"/>
        </w:rPr>
        <w:t>transport</w:t>
      </w:r>
      <w:r w:rsidR="00B110BC">
        <w:rPr>
          <w:rFonts w:asciiTheme="majorBidi" w:hAnsiTheme="majorBidi" w:cstheme="majorBidi"/>
          <w:sz w:val="24"/>
          <w:szCs w:val="24"/>
        </w:rPr>
        <w:t xml:space="preserve"> (mari</w:t>
      </w:r>
      <w:r w:rsidR="00951166">
        <w:rPr>
          <w:rFonts w:asciiTheme="majorBidi" w:hAnsiTheme="majorBidi" w:cstheme="majorBidi"/>
          <w:sz w:val="24"/>
          <w:szCs w:val="24"/>
        </w:rPr>
        <w:t>time, aérien, terrestre et multimodal</w:t>
      </w:r>
      <w:r w:rsidR="00B110BC">
        <w:rPr>
          <w:rFonts w:asciiTheme="majorBidi" w:hAnsiTheme="majorBidi" w:cstheme="majorBidi"/>
          <w:sz w:val="24"/>
          <w:szCs w:val="24"/>
        </w:rPr>
        <w:t>)</w:t>
      </w:r>
      <w:r w:rsidR="00CA1891">
        <w:rPr>
          <w:rFonts w:asciiTheme="majorBidi" w:hAnsiTheme="majorBidi" w:cstheme="majorBidi"/>
          <w:sz w:val="24"/>
          <w:szCs w:val="24"/>
        </w:rPr>
        <w:t xml:space="preserve"> </w:t>
      </w:r>
      <w:r w:rsidR="004D5DB4">
        <w:rPr>
          <w:rFonts w:asciiTheme="majorBidi" w:hAnsiTheme="majorBidi" w:cstheme="majorBidi"/>
          <w:sz w:val="24"/>
          <w:szCs w:val="24"/>
        </w:rPr>
        <w:t xml:space="preserve">des produits agricoles, agroalimentaires et </w:t>
      </w:r>
      <w:r w:rsidR="00951166">
        <w:rPr>
          <w:rFonts w:asciiTheme="majorBidi" w:hAnsiTheme="majorBidi" w:cstheme="majorBidi"/>
          <w:sz w:val="24"/>
          <w:szCs w:val="24"/>
        </w:rPr>
        <w:t>de l’artisanat</w:t>
      </w:r>
      <w:r w:rsidR="00740174">
        <w:rPr>
          <w:rFonts w:asciiTheme="majorBidi" w:hAnsiTheme="majorBidi" w:cstheme="majorBidi"/>
          <w:sz w:val="24"/>
          <w:szCs w:val="24"/>
        </w:rPr>
        <w:t xml:space="preserve"> par le FOPRODEX, et ce par la prise en charge d’une partie du coût du transport principal.</w:t>
      </w:r>
    </w:p>
    <w:p w:rsidR="00AA3C3B" w:rsidRPr="00AA3C3B" w:rsidRDefault="00AA3C3B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51E7A" w:rsidRPr="000616DD" w:rsidRDefault="00351E7A" w:rsidP="00C9765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616DD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51536D" w:rsidRDefault="0051536D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351E7A" w:rsidRPr="002B04C0" w:rsidRDefault="00C410B6" w:rsidP="00C9765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Résidence.</w:t>
      </w:r>
    </w:p>
    <w:p w:rsidR="00AA2056" w:rsidRPr="002B04C0" w:rsidRDefault="00D16CDE" w:rsidP="00C9765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351E7A" w:rsidRPr="002B04C0">
        <w:rPr>
          <w:rFonts w:asciiTheme="majorBidi" w:hAnsiTheme="majorBidi" w:cstheme="majorBidi"/>
          <w:sz w:val="24"/>
          <w:szCs w:val="24"/>
        </w:rPr>
        <w:t xml:space="preserve">xportant des </w:t>
      </w:r>
      <w:r w:rsidR="00AD5A72" w:rsidRPr="002B04C0">
        <w:rPr>
          <w:rFonts w:asciiTheme="majorBidi" w:hAnsiTheme="majorBidi" w:cstheme="majorBidi"/>
          <w:sz w:val="24"/>
          <w:szCs w:val="24"/>
        </w:rPr>
        <w:t>produits</w:t>
      </w:r>
      <w:r w:rsidR="00AD5A72">
        <w:rPr>
          <w:rFonts w:asciiTheme="majorBidi" w:hAnsiTheme="majorBidi" w:cstheme="majorBidi"/>
          <w:sz w:val="24"/>
          <w:szCs w:val="24"/>
        </w:rPr>
        <w:t xml:space="preserve"> agricoles</w:t>
      </w:r>
      <w:r w:rsidR="00BE47B6">
        <w:rPr>
          <w:rFonts w:asciiTheme="majorBidi" w:hAnsiTheme="majorBidi" w:cstheme="majorBidi"/>
          <w:sz w:val="24"/>
          <w:szCs w:val="24"/>
        </w:rPr>
        <w:t xml:space="preserve">, agroalimentaires et </w:t>
      </w:r>
      <w:r w:rsidR="001E1897">
        <w:rPr>
          <w:rFonts w:asciiTheme="majorBidi" w:hAnsiTheme="majorBidi" w:cstheme="majorBidi"/>
          <w:sz w:val="24"/>
          <w:szCs w:val="24"/>
        </w:rPr>
        <w:t>de l’artisanat</w:t>
      </w:r>
      <w:r w:rsidR="00B87F47">
        <w:rPr>
          <w:rFonts w:asciiTheme="majorBidi" w:hAnsiTheme="majorBidi" w:cstheme="majorBidi"/>
          <w:sz w:val="24"/>
          <w:szCs w:val="24"/>
        </w:rPr>
        <w:t>,</w:t>
      </w:r>
      <w:r w:rsidR="00370844">
        <w:rPr>
          <w:rFonts w:asciiTheme="majorBidi" w:hAnsiTheme="majorBidi" w:cstheme="majorBidi"/>
          <w:sz w:val="24"/>
          <w:szCs w:val="24"/>
        </w:rPr>
        <w:t xml:space="preserve"> d’origine tunisienne.</w:t>
      </w:r>
    </w:p>
    <w:p w:rsidR="00AA2056" w:rsidRPr="0026410F" w:rsidRDefault="00AA2056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26410F">
        <w:rPr>
          <w:rFonts w:asciiTheme="majorBidi" w:hAnsiTheme="majorBidi" w:cstheme="majorBidi"/>
          <w:sz w:val="24"/>
          <w:szCs w:val="24"/>
          <w:u w:val="single"/>
        </w:rPr>
        <w:t xml:space="preserve">La non-éligibilité au soutien : </w:t>
      </w:r>
    </w:p>
    <w:p w:rsidR="00AA2056" w:rsidRPr="002B04C0" w:rsidRDefault="00AA2056" w:rsidP="00C976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Les produits exportés par la voie terrestre sur le marché libyen.</w:t>
      </w:r>
    </w:p>
    <w:p w:rsidR="00AA2056" w:rsidRDefault="006E3339" w:rsidP="00C976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exportations d’huile d’olive</w:t>
      </w:r>
      <w:r w:rsidR="00A1709E">
        <w:rPr>
          <w:rFonts w:asciiTheme="majorBidi" w:hAnsiTheme="majorBidi" w:cstheme="majorBidi"/>
          <w:sz w:val="24"/>
          <w:szCs w:val="24"/>
        </w:rPr>
        <w:t xml:space="preserve"> conventionnelle (non biologique)</w:t>
      </w:r>
      <w:r w:rsidR="007F2855">
        <w:rPr>
          <w:rFonts w:asciiTheme="majorBidi" w:hAnsiTheme="majorBidi" w:cstheme="majorBidi"/>
          <w:sz w:val="24"/>
          <w:szCs w:val="24"/>
        </w:rPr>
        <w:t xml:space="preserve"> en</w:t>
      </w:r>
      <w:r w:rsidR="0047730E" w:rsidRPr="002B04C0">
        <w:rPr>
          <w:rFonts w:asciiTheme="majorBidi" w:hAnsiTheme="majorBidi" w:cstheme="majorBidi"/>
          <w:sz w:val="24"/>
          <w:szCs w:val="24"/>
        </w:rPr>
        <w:t xml:space="preserve"> VRAC</w:t>
      </w:r>
      <w:r w:rsidR="00AA2056" w:rsidRPr="002B04C0">
        <w:rPr>
          <w:rFonts w:asciiTheme="majorBidi" w:hAnsiTheme="majorBidi" w:cstheme="majorBidi"/>
          <w:sz w:val="24"/>
          <w:szCs w:val="24"/>
        </w:rPr>
        <w:t xml:space="preserve"> sur </w:t>
      </w:r>
      <w:r>
        <w:rPr>
          <w:rFonts w:asciiTheme="majorBidi" w:hAnsiTheme="majorBidi" w:cstheme="majorBidi"/>
          <w:sz w:val="24"/>
          <w:szCs w:val="24"/>
        </w:rPr>
        <w:t>la France, l’Italie et l’Espagne.</w:t>
      </w:r>
    </w:p>
    <w:p w:rsidR="00254AC7" w:rsidRDefault="00254AC7" w:rsidP="00C976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exportations d’huile de grignons et de pomace</w:t>
      </w:r>
      <w:r w:rsidR="00451582">
        <w:rPr>
          <w:rFonts w:asciiTheme="majorBidi" w:hAnsiTheme="majorBidi" w:cstheme="majorBidi"/>
          <w:sz w:val="24"/>
          <w:szCs w:val="24"/>
        </w:rPr>
        <w:t xml:space="preserve"> sur tous les marchés</w:t>
      </w:r>
      <w:r w:rsidR="00546B6C">
        <w:rPr>
          <w:rFonts w:asciiTheme="majorBidi" w:hAnsiTheme="majorBidi" w:cstheme="majorBidi"/>
          <w:sz w:val="24"/>
          <w:szCs w:val="24"/>
        </w:rPr>
        <w:t xml:space="preserve"> (même mélangée avec l’huile d’olive extra vierge). </w:t>
      </w:r>
    </w:p>
    <w:p w:rsidR="00394C1F" w:rsidRDefault="00AA2056" w:rsidP="00C976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Les</w:t>
      </w:r>
      <w:r w:rsidR="00170A58">
        <w:rPr>
          <w:rFonts w:asciiTheme="majorBidi" w:hAnsiTheme="majorBidi" w:cstheme="majorBidi"/>
          <w:sz w:val="24"/>
          <w:szCs w:val="24"/>
        </w:rPr>
        <w:t xml:space="preserve"> expéditions</w:t>
      </w:r>
      <w:r w:rsidR="004206DC">
        <w:rPr>
          <w:rFonts w:asciiTheme="majorBidi" w:hAnsiTheme="majorBidi" w:cstheme="majorBidi"/>
          <w:sz w:val="24"/>
          <w:szCs w:val="24"/>
        </w:rPr>
        <w:t xml:space="preserve"> des</w:t>
      </w:r>
      <w:r w:rsidR="00972152">
        <w:rPr>
          <w:rFonts w:asciiTheme="majorBidi" w:hAnsiTheme="majorBidi" w:cstheme="majorBidi"/>
          <w:sz w:val="24"/>
          <w:szCs w:val="24"/>
        </w:rPr>
        <w:t xml:space="preserve"> échantillons</w:t>
      </w:r>
      <w:r w:rsidR="00C24D13">
        <w:rPr>
          <w:rFonts w:asciiTheme="majorBidi" w:hAnsiTheme="majorBidi" w:cstheme="majorBidi"/>
          <w:sz w:val="24"/>
          <w:szCs w:val="24"/>
        </w:rPr>
        <w:t xml:space="preserve"> (exception faite pour</w:t>
      </w:r>
      <w:r w:rsidR="00972152">
        <w:rPr>
          <w:rFonts w:asciiTheme="majorBidi" w:hAnsiTheme="majorBidi" w:cstheme="majorBidi"/>
          <w:sz w:val="24"/>
          <w:szCs w:val="24"/>
        </w:rPr>
        <w:t xml:space="preserve"> la convention entre le CEPEX et la poste tunisienne).</w:t>
      </w:r>
    </w:p>
    <w:p w:rsidR="00AA3C3B" w:rsidRPr="00AA3C3B" w:rsidRDefault="00AA3C3B" w:rsidP="00C9765A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370D32" w:rsidRDefault="006155B4" w:rsidP="00C9765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616D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F51982" w:rsidRPr="00F51982" w:rsidRDefault="00F5198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536"/>
        <w:gridCol w:w="4536"/>
      </w:tblGrid>
      <w:tr w:rsidR="003718C4" w:rsidRPr="002B04C0" w:rsidTr="00E86E94">
        <w:tc>
          <w:tcPr>
            <w:tcW w:w="4536" w:type="dxa"/>
            <w:shd w:val="clear" w:color="auto" w:fill="BFBFBF" w:themeFill="background1" w:themeFillShade="BF"/>
          </w:tcPr>
          <w:p w:rsidR="003718C4" w:rsidRPr="00E86E94" w:rsidRDefault="003718C4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6E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3718C4" w:rsidRPr="00E86E94" w:rsidRDefault="003718C4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6E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3718C4" w:rsidRPr="002B04C0" w:rsidTr="00E86E94">
        <w:tc>
          <w:tcPr>
            <w:tcW w:w="4536" w:type="dxa"/>
          </w:tcPr>
          <w:p w:rsidR="0084003A" w:rsidRPr="00321AD6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entreprise pour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84003A" w:rsidRPr="00321AD6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84003A" w:rsidRPr="00321AD6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84003A" w:rsidRPr="00321AD6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84003A" w:rsidRPr="00321AD6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84003A" w:rsidRPr="0014361C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84003A" w:rsidRDefault="0084003A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soutien FOPRODEX 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Transport des produits agricoles, agroalimentaires et de l’artisanat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3718C4" w:rsidRDefault="00E138CB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Reçu de paiement au CEPEX d’une valeur de 50 dt correspondant aux frais de traitement du dossier.</w:t>
            </w:r>
          </w:p>
          <w:p w:rsidR="00F75D65" w:rsidRPr="002B04C0" w:rsidRDefault="00F75D65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 noter que le montant de 50 dt facturé couvre les expéditions à réaliser sur une période ne dépassant pas un mois ; le cas échéant une somme de 50 dt supplémentaire sera exigée  sur les expéditions à réaliser pour chaque mois additionnel.</w:t>
            </w:r>
          </w:p>
        </w:tc>
        <w:tc>
          <w:tcPr>
            <w:tcW w:w="4536" w:type="dxa"/>
          </w:tcPr>
          <w:p w:rsidR="00487F3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déblocage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FOPRODEX 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Transport des produits agricoles, agroalimentaires et de l’artisanat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487F30" w:rsidRDefault="00487F30" w:rsidP="00C9765A">
            <w:pPr>
              <w:tabs>
                <w:tab w:val="left" w:pos="175"/>
                <w:tab w:val="left" w:pos="22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Copie de la décision.</w:t>
            </w:r>
          </w:p>
          <w:p w:rsidR="003718C4" w:rsidRPr="002B04C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3718C4" w:rsidRPr="00F854CA">
              <w:rPr>
                <w:rFonts w:asciiTheme="majorBidi" w:hAnsiTheme="majorBidi" w:cstheme="majorBidi"/>
                <w:sz w:val="24"/>
                <w:szCs w:val="24"/>
              </w:rPr>
              <w:t>Facture commerciale imputée par la douane</w:t>
            </w:r>
            <w:r w:rsidR="003718C4">
              <w:rPr>
                <w:rFonts w:asciiTheme="majorBidi" w:hAnsiTheme="majorBidi" w:cstheme="majorBidi"/>
                <w:sz w:val="24"/>
                <w:szCs w:val="24"/>
              </w:rPr>
              <w:t xml:space="preserve"> et/</w:t>
            </w:r>
            <w:r w:rsidR="003718C4" w:rsidRPr="00F854CA">
              <w:rPr>
                <w:rFonts w:asciiTheme="majorBidi" w:hAnsiTheme="majorBidi" w:cstheme="majorBidi"/>
                <w:sz w:val="24"/>
                <w:szCs w:val="24"/>
              </w:rPr>
              <w:t>ou domiciliée.</w:t>
            </w:r>
            <w:r w:rsidR="005B0AA0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</w:p>
          <w:p w:rsidR="003718C4" w:rsidRPr="002B04C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Copie de la déclaration douanière.</w:t>
            </w:r>
          </w:p>
          <w:p w:rsidR="003718C4" w:rsidRPr="002B04C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Contrats de transport (Bill of lading, lettre de transport aérien ou lettre de voiture</w:t>
            </w:r>
            <w:r w:rsidR="00AD7A6B">
              <w:rPr>
                <w:rFonts w:asciiTheme="majorBidi" w:hAnsiTheme="majorBidi" w:cstheme="majorBidi"/>
                <w:sz w:val="24"/>
                <w:szCs w:val="24"/>
              </w:rPr>
              <w:t>).</w:t>
            </w:r>
            <w:r w:rsidR="005B0AA0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</w:p>
          <w:p w:rsidR="003718C4" w:rsidRPr="002B04C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Facture de transport</w:t>
            </w:r>
            <w:r w:rsidR="008A2ADC">
              <w:rPr>
                <w:rFonts w:asciiTheme="majorBidi" w:hAnsiTheme="majorBidi" w:cstheme="majorBidi"/>
                <w:sz w:val="24"/>
                <w:szCs w:val="24"/>
              </w:rPr>
              <w:t xml:space="preserve"> défalquée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5B0AA0">
              <w:rPr>
                <w:rFonts w:asciiTheme="majorBidi" w:hAnsiTheme="majorBidi" w:cstheme="majorBidi"/>
                <w:sz w:val="24"/>
                <w:szCs w:val="24"/>
              </w:rPr>
              <w:t xml:space="preserve"> (originale </w:t>
            </w:r>
            <w:r w:rsidR="005B0AA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ou copie conforme)</w:t>
            </w:r>
          </w:p>
          <w:p w:rsidR="003718C4" w:rsidRPr="002B04C0" w:rsidRDefault="00487F3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CD02EB">
              <w:rPr>
                <w:rFonts w:asciiTheme="majorBidi" w:hAnsiTheme="majorBidi" w:cstheme="majorBidi"/>
                <w:sz w:val="24"/>
                <w:szCs w:val="24"/>
              </w:rPr>
              <w:t>Copie</w:t>
            </w:r>
            <w:r w:rsidR="00CD02EB" w:rsidRPr="002B04C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02EB">
              <w:rPr>
                <w:rFonts w:asciiTheme="majorBidi" w:hAnsiTheme="majorBidi" w:cstheme="majorBidi"/>
                <w:sz w:val="24"/>
                <w:szCs w:val="24"/>
              </w:rPr>
              <w:t>de l’a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ttestation</w:t>
            </w:r>
            <w:r w:rsidR="00CD02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>de</w:t>
            </w:r>
            <w:r w:rsidR="003718C4">
              <w:rPr>
                <w:rFonts w:asciiTheme="majorBidi" w:hAnsiTheme="majorBidi" w:cstheme="majorBidi"/>
                <w:sz w:val="24"/>
                <w:szCs w:val="24"/>
              </w:rPr>
              <w:t xml:space="preserve"> contrôle technique de</w:t>
            </w:r>
            <w:r w:rsidR="003718C4" w:rsidRPr="002B04C0">
              <w:rPr>
                <w:rFonts w:asciiTheme="majorBidi" w:hAnsiTheme="majorBidi" w:cstheme="majorBidi"/>
                <w:sz w:val="24"/>
                <w:szCs w:val="24"/>
              </w:rPr>
              <w:t xml:space="preserve"> l’ONA</w:t>
            </w:r>
            <w:r w:rsidR="003718C4">
              <w:rPr>
                <w:rStyle w:val="Appelnotedebasdep"/>
                <w:rFonts w:asciiTheme="majorBidi" w:hAnsiTheme="majorBidi" w:cstheme="majorBidi"/>
                <w:sz w:val="24"/>
                <w:szCs w:val="24"/>
              </w:rPr>
              <w:footnoteReference w:id="2"/>
            </w:r>
            <w:r w:rsidR="003718C4">
              <w:rPr>
                <w:rFonts w:asciiTheme="majorBidi" w:hAnsiTheme="majorBidi" w:cstheme="majorBidi"/>
                <w:sz w:val="24"/>
                <w:szCs w:val="24"/>
              </w:rPr>
              <w:t>lors de l’exportation des produits de l’artisanat. (l’imputation de l’ONA peut se faire sur la facture commerciale).</w:t>
            </w:r>
          </w:p>
        </w:tc>
      </w:tr>
      <w:tr w:rsidR="00487F30" w:rsidRPr="002B04C0" w:rsidTr="00E90924">
        <w:tc>
          <w:tcPr>
            <w:tcW w:w="9072" w:type="dxa"/>
            <w:gridSpan w:val="2"/>
          </w:tcPr>
          <w:p w:rsidR="00487F30" w:rsidRDefault="00487F30" w:rsidP="00C9765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NB :</w:t>
            </w:r>
          </w:p>
          <w:p w:rsidR="00487F30" w:rsidRDefault="00487F30" w:rsidP="00C9765A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formulaires indiqués en gras sont téléchargeables auprès du site du CEPEX et 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demandes remplies à la main ne sont 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F30" w:rsidRPr="00515286" w:rsidRDefault="00487F30" w:rsidP="00C9765A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DA3F75" w:rsidRDefault="00DA3F75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5FE7" w:rsidRPr="00413E74" w:rsidRDefault="00E15FE7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3E45" w:rsidRDefault="003A451B" w:rsidP="00C9765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Mode</w:t>
      </w:r>
      <w:r w:rsidR="001341B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et conditions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 c</w:t>
      </w:r>
      <w:r w:rsidR="00AD1695" w:rsidRPr="000616DD">
        <w:rPr>
          <w:rFonts w:asciiTheme="majorBidi" w:hAnsiTheme="majorBidi" w:cstheme="majorBidi"/>
          <w:b/>
          <w:bCs/>
          <w:sz w:val="28"/>
          <w:szCs w:val="28"/>
          <w:u w:val="single"/>
        </w:rPr>
        <w:t>alcul de la subvention :</w:t>
      </w:r>
    </w:p>
    <w:p w:rsidR="00257D00" w:rsidRPr="005767D7" w:rsidRDefault="005767D7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="00257D00"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257D00" w:rsidRDefault="00257D00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DA20BD" w:rsidRDefault="00DA20BD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2223"/>
        <w:gridCol w:w="1416"/>
        <w:gridCol w:w="1619"/>
        <w:gridCol w:w="1649"/>
        <w:gridCol w:w="1661"/>
      </w:tblGrid>
      <w:tr w:rsidR="00257D00" w:rsidRPr="002B04C0" w:rsidTr="008D624B"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00" w:rsidRPr="002B04C0" w:rsidRDefault="00257D00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57D00" w:rsidRPr="002B04C0" w:rsidRDefault="00257D00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Mode maritime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257D00" w:rsidRPr="002B04C0" w:rsidRDefault="00257D00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Mode mixte</w:t>
            </w:r>
          </w:p>
        </w:tc>
        <w:tc>
          <w:tcPr>
            <w:tcW w:w="1649" w:type="dxa"/>
            <w:shd w:val="clear" w:color="auto" w:fill="BFBFBF" w:themeFill="background1" w:themeFillShade="BF"/>
          </w:tcPr>
          <w:p w:rsidR="00257D00" w:rsidRPr="002B04C0" w:rsidRDefault="00257D00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Mode terrestre</w:t>
            </w:r>
          </w:p>
        </w:tc>
        <w:tc>
          <w:tcPr>
            <w:tcW w:w="1661" w:type="dxa"/>
            <w:shd w:val="clear" w:color="auto" w:fill="BFBFBF" w:themeFill="background1" w:themeFillShade="BF"/>
          </w:tcPr>
          <w:p w:rsidR="00257D00" w:rsidRPr="002B04C0" w:rsidRDefault="00257D00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Mode aérien</w:t>
            </w:r>
          </w:p>
        </w:tc>
      </w:tr>
      <w:tr w:rsidR="00257D00" w:rsidRPr="002B04C0" w:rsidTr="008D624B">
        <w:tc>
          <w:tcPr>
            <w:tcW w:w="22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57D00" w:rsidRPr="002B04C0" w:rsidRDefault="00F44AB2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Produits agricoles et agroalimentaires</w:t>
            </w:r>
          </w:p>
        </w:tc>
        <w:tc>
          <w:tcPr>
            <w:tcW w:w="4684" w:type="dxa"/>
            <w:gridSpan w:val="3"/>
          </w:tcPr>
          <w:p w:rsidR="00F44AB2" w:rsidRDefault="00F44AB2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57D00" w:rsidRPr="00F44AB2" w:rsidRDefault="00257D00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4AB2">
              <w:rPr>
                <w:rFonts w:asciiTheme="majorBidi" w:hAnsiTheme="majorBidi" w:cstheme="majorBidi"/>
                <w:sz w:val="24"/>
                <w:szCs w:val="24"/>
              </w:rPr>
              <w:t>1/3 du Fret</w:t>
            </w:r>
          </w:p>
        </w:tc>
        <w:tc>
          <w:tcPr>
            <w:tcW w:w="1661" w:type="dxa"/>
          </w:tcPr>
          <w:p w:rsidR="00F44AB2" w:rsidRDefault="00F44AB2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57D00" w:rsidRPr="002B04C0" w:rsidRDefault="00257D00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sz w:val="24"/>
                <w:szCs w:val="24"/>
              </w:rPr>
              <w:t>1/2 du Fret</w:t>
            </w:r>
          </w:p>
        </w:tc>
      </w:tr>
      <w:tr w:rsidR="00257D00" w:rsidRPr="002B04C0" w:rsidTr="008D624B">
        <w:trPr>
          <w:trHeight w:val="495"/>
        </w:trPr>
        <w:tc>
          <w:tcPr>
            <w:tcW w:w="2223" w:type="dxa"/>
            <w:shd w:val="clear" w:color="auto" w:fill="BFBFBF" w:themeFill="background1" w:themeFillShade="BF"/>
          </w:tcPr>
          <w:p w:rsidR="00257D00" w:rsidRPr="002B04C0" w:rsidRDefault="00F44AB2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Produis de l’a</w:t>
            </w:r>
            <w:r w:rsidR="00257D00" w:rsidRPr="002B04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rtisanat</w:t>
            </w:r>
          </w:p>
        </w:tc>
        <w:tc>
          <w:tcPr>
            <w:tcW w:w="6345" w:type="dxa"/>
            <w:gridSpan w:val="4"/>
          </w:tcPr>
          <w:p w:rsidR="00F44AB2" w:rsidRDefault="00F44AB2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57D00" w:rsidRPr="002B04C0" w:rsidRDefault="00257D00" w:rsidP="00C9765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sz w:val="24"/>
                <w:szCs w:val="24"/>
              </w:rPr>
              <w:t>1/4du Fret</w:t>
            </w:r>
          </w:p>
        </w:tc>
      </w:tr>
    </w:tbl>
    <w:p w:rsidR="00DA20BD" w:rsidRPr="006226F0" w:rsidRDefault="00DA20BD" w:rsidP="00C9765A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943FA3" w:rsidRPr="005767D7" w:rsidRDefault="00943FA3" w:rsidP="00C9765A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  <w:r w:rsidR="005767D7"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nstruction</w:t>
      </w:r>
      <w:r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43FA3" w:rsidRPr="005767D7" w:rsidRDefault="00943FA3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</w:t>
      </w:r>
      <w:r w:rsidR="00946218"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</w:t>
      </w:r>
      <w:r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C158E8" w:rsidRDefault="00C158E8" w:rsidP="00C158E8">
      <w:pPr>
        <w:pStyle w:val="Paragraphedeliste"/>
        <w:numPr>
          <w:ilvl w:val="0"/>
          <w:numId w:val="32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Frais de dépôt de dossier d’une valeur de 50 dt couvrant les expéditions à réaliser sur une période ne dépassant pas un mois ; le cas échéant une somme de 50 dt supplémentaire sera exigée sur les expéditions à réaliser pour chaque mois additionnel.</w:t>
      </w:r>
    </w:p>
    <w:p w:rsidR="006226F0" w:rsidRDefault="006226F0" w:rsidP="00C9765A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2906">
        <w:rPr>
          <w:rFonts w:asciiTheme="majorBidi" w:hAnsiTheme="majorBidi" w:cstheme="majorBidi"/>
          <w:sz w:val="24"/>
          <w:szCs w:val="24"/>
        </w:rPr>
        <w:t>La date de dépôt doit être inférieure ou égale au délai prévisionnel de réalisation.</w:t>
      </w:r>
    </w:p>
    <w:p w:rsidR="003F1DFA" w:rsidRPr="006226F0" w:rsidRDefault="00E325C6" w:rsidP="00C9765A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26F0">
        <w:rPr>
          <w:rFonts w:asciiTheme="majorBidi" w:hAnsiTheme="majorBidi" w:cstheme="majorBidi"/>
          <w:sz w:val="24"/>
          <w:szCs w:val="24"/>
        </w:rPr>
        <w:t>Le produit</w:t>
      </w:r>
      <w:r w:rsidR="00E35CCF" w:rsidRPr="006226F0">
        <w:rPr>
          <w:rFonts w:asciiTheme="majorBidi" w:hAnsiTheme="majorBidi" w:cstheme="majorBidi"/>
          <w:sz w:val="24"/>
          <w:szCs w:val="24"/>
        </w:rPr>
        <w:t>, l’incoterm, le mode de transport ainsi que la destination doivent remplir les conditions d’éligibilité.</w:t>
      </w:r>
    </w:p>
    <w:p w:rsidR="003844D9" w:rsidRPr="006226F0" w:rsidRDefault="003844D9" w:rsidP="00C9765A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26F0">
        <w:rPr>
          <w:rFonts w:asciiTheme="majorBidi" w:hAnsiTheme="majorBidi" w:cstheme="majorBidi"/>
          <w:sz w:val="24"/>
          <w:szCs w:val="24"/>
        </w:rPr>
        <w:t>La valeur</w:t>
      </w:r>
      <w:r w:rsidR="00BC1F5C" w:rsidRPr="006226F0">
        <w:rPr>
          <w:rFonts w:asciiTheme="majorBidi" w:hAnsiTheme="majorBidi" w:cstheme="majorBidi"/>
          <w:sz w:val="24"/>
          <w:szCs w:val="24"/>
        </w:rPr>
        <w:t xml:space="preserve"> du fret ne doit pas dépasser</w:t>
      </w:r>
      <w:r w:rsidRPr="006226F0">
        <w:rPr>
          <w:rFonts w:asciiTheme="majorBidi" w:hAnsiTheme="majorBidi" w:cstheme="majorBidi"/>
          <w:sz w:val="24"/>
          <w:szCs w:val="24"/>
        </w:rPr>
        <w:t xml:space="preserve"> 1/3 de</w:t>
      </w:r>
      <w:r w:rsidR="001644A5" w:rsidRPr="006226F0">
        <w:rPr>
          <w:rFonts w:asciiTheme="majorBidi" w:hAnsiTheme="majorBidi" w:cstheme="majorBidi"/>
          <w:sz w:val="24"/>
          <w:szCs w:val="24"/>
        </w:rPr>
        <w:t xml:space="preserve"> la</w:t>
      </w:r>
      <w:r w:rsidRPr="006226F0">
        <w:rPr>
          <w:rFonts w:asciiTheme="majorBidi" w:hAnsiTheme="majorBidi" w:cstheme="majorBidi"/>
          <w:sz w:val="24"/>
          <w:szCs w:val="24"/>
        </w:rPr>
        <w:t xml:space="preserve"> valeur commerciale de la marchandise.</w:t>
      </w:r>
    </w:p>
    <w:p w:rsidR="00762A61" w:rsidRPr="00762A61" w:rsidRDefault="00762A61" w:rsidP="00C9765A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C61AFB" w:rsidRPr="005767D7" w:rsidRDefault="005767D7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="006F396F"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AC323A" w:rsidRDefault="00AC323A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Grilledutableau"/>
        <w:tblW w:w="0" w:type="auto"/>
        <w:tblInd w:w="2376" w:type="dxa"/>
        <w:tblLook w:val="04A0"/>
      </w:tblPr>
      <w:tblGrid>
        <w:gridCol w:w="5103"/>
      </w:tblGrid>
      <w:tr w:rsidR="001E0FE3" w:rsidTr="00E15716">
        <w:tc>
          <w:tcPr>
            <w:tcW w:w="5103" w:type="dxa"/>
            <w:shd w:val="clear" w:color="auto" w:fill="F2F2F2" w:themeFill="background1" w:themeFillShade="F2"/>
          </w:tcPr>
          <w:p w:rsidR="001E0FE3" w:rsidRPr="00EA3978" w:rsidRDefault="001E0FE3" w:rsidP="00C9765A">
            <w:pPr>
              <w:jc w:val="both"/>
              <w:rPr>
                <w:rFonts w:ascii="Cambria Math" w:hAnsi="Cambria Math" w:cstheme="majorBidi"/>
                <w:b/>
                <w:bCs/>
                <w:sz w:val="28"/>
                <w:szCs w:val="28"/>
              </w:rPr>
            </w:pPr>
          </w:p>
          <w:p w:rsidR="001E0FE3" w:rsidRPr="005B0AA0" w:rsidRDefault="005B0AA0" w:rsidP="00C9765A">
            <w:pPr>
              <w:jc w:val="both"/>
              <w:rPr>
                <w:oMath/>
                <w:rFonts w:ascii="Cambria Math" w:eastAsia="MS Gothic" w:hAnsi="Cambria Math" w:hint="eastAsia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MS Gothic" w:hAnsi="Cambria Math"/>
                    <w:sz w:val="28"/>
                    <w:szCs w:val="28"/>
                  </w:rPr>
                  <m:t>VSi = min (1/3 VCM, VF ) * TS</m:t>
                </m:r>
              </m:oMath>
            </m:oMathPara>
          </w:p>
          <w:p w:rsidR="001E0FE3" w:rsidRDefault="001E0FE3" w:rsidP="00C9765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8B0EFD" w:rsidRDefault="008B0EFD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B0EFD" w:rsidRDefault="008B0EFD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A4E51" w:rsidRDefault="00AA4E51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VS</w:t>
      </w:r>
      <w:r w:rsidR="00AA2ECE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AA4E5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V</w:t>
      </w:r>
      <w:r w:rsidR="00281BED">
        <w:rPr>
          <w:rFonts w:asciiTheme="majorBidi" w:hAnsiTheme="majorBidi" w:cstheme="majorBidi"/>
          <w:sz w:val="24"/>
          <w:szCs w:val="24"/>
        </w:rPr>
        <w:t>aleur</w:t>
      </w:r>
      <w:r w:rsidRPr="00AA4E51">
        <w:rPr>
          <w:rFonts w:asciiTheme="majorBidi" w:hAnsiTheme="majorBidi" w:cstheme="majorBidi"/>
          <w:sz w:val="24"/>
          <w:szCs w:val="24"/>
        </w:rPr>
        <w:t xml:space="preserve"> subvention</w:t>
      </w:r>
      <w:r w:rsidR="00AA2ECE">
        <w:rPr>
          <w:rFonts w:asciiTheme="majorBidi" w:hAnsiTheme="majorBidi" w:cstheme="majorBidi"/>
          <w:sz w:val="24"/>
          <w:szCs w:val="24"/>
        </w:rPr>
        <w:t xml:space="preserve"> instruction</w:t>
      </w:r>
      <w:r w:rsidRPr="00AA4E51">
        <w:rPr>
          <w:rFonts w:asciiTheme="majorBidi" w:hAnsiTheme="majorBidi" w:cstheme="majorBidi"/>
          <w:sz w:val="24"/>
          <w:szCs w:val="24"/>
        </w:rPr>
        <w:t>.</w:t>
      </w:r>
    </w:p>
    <w:p w:rsidR="00D438DF" w:rsidRDefault="00D438DF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VCM :</w:t>
      </w:r>
      <w:r>
        <w:rPr>
          <w:rFonts w:asciiTheme="majorBidi" w:hAnsiTheme="majorBidi" w:cstheme="majorBidi"/>
          <w:sz w:val="24"/>
          <w:szCs w:val="24"/>
        </w:rPr>
        <w:t xml:space="preserve"> Valeur commerciale de la marchandise.</w:t>
      </w:r>
    </w:p>
    <w:p w:rsidR="00775BAA" w:rsidRDefault="00775BAA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VF :</w:t>
      </w:r>
      <w:r>
        <w:rPr>
          <w:rFonts w:asciiTheme="majorBidi" w:hAnsiTheme="majorBidi" w:cstheme="majorBidi"/>
          <w:sz w:val="24"/>
          <w:szCs w:val="24"/>
        </w:rPr>
        <w:t xml:space="preserve"> Valeur du fret.</w:t>
      </w:r>
    </w:p>
    <w:p w:rsidR="001170F9" w:rsidRPr="00AA4E51" w:rsidRDefault="001170F9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TS :</w:t>
      </w:r>
      <w:r>
        <w:rPr>
          <w:rFonts w:asciiTheme="majorBidi" w:hAnsiTheme="majorBidi" w:cstheme="majorBidi"/>
          <w:sz w:val="24"/>
          <w:szCs w:val="24"/>
        </w:rPr>
        <w:t xml:space="preserve"> Taux de la subvention.</w:t>
      </w:r>
    </w:p>
    <w:p w:rsidR="001E0FE3" w:rsidRPr="001E0FE3" w:rsidRDefault="001E0FE3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1C18C7" w:rsidRPr="005767D7" w:rsidRDefault="00007CEC" w:rsidP="00C9765A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="005767D7"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éblocage</w:t>
      </w:r>
      <w:r w:rsidRPr="005767D7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243281" w:rsidRPr="005767D7" w:rsidRDefault="00007CEC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</w:t>
      </w:r>
      <w:r w:rsidR="00946218"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</w:t>
      </w:r>
      <w:r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B35FB8" w:rsidRDefault="00B35FB8" w:rsidP="00B35FB8">
      <w:pPr>
        <w:pStyle w:val="Paragraphedeliste"/>
        <w:numPr>
          <w:ilvl w:val="0"/>
          <w:numId w:val="34"/>
        </w:numPr>
        <w:spacing w:after="16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date limite de dépôt du dossier de déblocage ne doit pas d</w:t>
      </w:r>
      <w:r w:rsidR="007E04FE">
        <w:rPr>
          <w:rFonts w:ascii="Times New Roman" w:hAnsi="Times New Roman" w:cs="Times New Roman"/>
          <w:bCs/>
          <w:sz w:val="24"/>
          <w:szCs w:val="24"/>
        </w:rPr>
        <w:t>épasser 45 jours de la date de l</w:t>
      </w:r>
      <w:r>
        <w:rPr>
          <w:rFonts w:ascii="Times New Roman" w:hAnsi="Times New Roman" w:cs="Times New Roman"/>
          <w:bCs/>
          <w:sz w:val="24"/>
          <w:szCs w:val="24"/>
        </w:rPr>
        <w:t>a signature</w:t>
      </w:r>
      <w:r w:rsidR="007E04FE">
        <w:rPr>
          <w:rFonts w:ascii="Times New Roman" w:hAnsi="Times New Roman" w:cs="Times New Roman"/>
          <w:bCs/>
          <w:sz w:val="24"/>
          <w:szCs w:val="24"/>
        </w:rPr>
        <w:t xml:space="preserve"> de la décision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(cachet Bureau d’Ordre Central du ministère de commerce faisant foi) avec une prolongation d’un mois. Au-delà de cette échéance, le dossier doit être soumis à l’examen de la commission. Au delà de 105 jours de retard non justifié, le dossier sera rejeté a</w:t>
      </w:r>
      <w:r w:rsidR="003031E7">
        <w:rPr>
          <w:rFonts w:ascii="Times New Roman" w:hAnsi="Times New Roman" w:cs="Times New Roman"/>
          <w:bCs/>
          <w:sz w:val="24"/>
          <w:szCs w:val="24"/>
        </w:rPr>
        <w:t xml:space="preserve">utomatiquement. </w:t>
      </w:r>
      <w:r w:rsidR="003031E7" w:rsidRPr="00247541">
        <w:rPr>
          <w:rFonts w:asciiTheme="majorBidi" w:hAnsiTheme="majorBidi" w:cstheme="majorBidi"/>
          <w:sz w:val="24"/>
          <w:szCs w:val="24"/>
        </w:rPr>
        <w:t>Une dérogation de 6 mois sera accordée aux entreprises ayant déposé une demande pour la première fois.</w:t>
      </w:r>
    </w:p>
    <w:p w:rsidR="00247541" w:rsidRPr="00247541" w:rsidRDefault="00247541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La date réelle de réalisation doit être inférieure ou égale à la date limite de réalisation indiquée sur la décision avec une prolongation d’u</w:t>
      </w:r>
      <w:r w:rsidR="003031E7">
        <w:rPr>
          <w:rFonts w:asciiTheme="majorBidi" w:hAnsiTheme="majorBidi" w:cstheme="majorBidi"/>
          <w:sz w:val="24"/>
          <w:szCs w:val="24"/>
        </w:rPr>
        <w:t>n mois. Une dérogation</w:t>
      </w:r>
      <w:r w:rsidRPr="00247541">
        <w:rPr>
          <w:rFonts w:asciiTheme="majorBidi" w:hAnsiTheme="majorBidi" w:cstheme="majorBidi"/>
          <w:sz w:val="24"/>
          <w:szCs w:val="24"/>
        </w:rPr>
        <w:t xml:space="preserve"> sera accordée aux entreprises ayant déposé une demande pour la première fois.</w:t>
      </w:r>
    </w:p>
    <w:p w:rsidR="000E6727" w:rsidRPr="00247541" w:rsidRDefault="000E6727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Le produit exporté</w:t>
      </w:r>
      <w:r w:rsidR="00B52B37" w:rsidRPr="00247541">
        <w:rPr>
          <w:rFonts w:asciiTheme="majorBidi" w:hAnsiTheme="majorBidi" w:cstheme="majorBidi"/>
          <w:sz w:val="24"/>
          <w:szCs w:val="24"/>
        </w:rPr>
        <w:t>, la destination ou port de déchargement et le mode de transport  doivent</w:t>
      </w:r>
      <w:r w:rsidRPr="00247541">
        <w:rPr>
          <w:rFonts w:asciiTheme="majorBidi" w:hAnsiTheme="majorBidi" w:cstheme="majorBidi"/>
          <w:sz w:val="24"/>
          <w:szCs w:val="24"/>
        </w:rPr>
        <w:t xml:space="preserve"> être </w:t>
      </w:r>
      <w:r w:rsidR="00E45D18" w:rsidRPr="00247541">
        <w:rPr>
          <w:rFonts w:asciiTheme="majorBidi" w:hAnsiTheme="majorBidi" w:cstheme="majorBidi"/>
          <w:sz w:val="24"/>
          <w:szCs w:val="24"/>
        </w:rPr>
        <w:t>conforme</w:t>
      </w:r>
      <w:r w:rsidR="00B52B37" w:rsidRPr="00247541">
        <w:rPr>
          <w:rFonts w:asciiTheme="majorBidi" w:hAnsiTheme="majorBidi" w:cstheme="majorBidi"/>
          <w:sz w:val="24"/>
          <w:szCs w:val="24"/>
        </w:rPr>
        <w:t>s</w:t>
      </w:r>
      <w:r w:rsidR="00E45D18" w:rsidRPr="00247541">
        <w:rPr>
          <w:rFonts w:asciiTheme="majorBidi" w:hAnsiTheme="majorBidi" w:cstheme="majorBidi"/>
          <w:sz w:val="24"/>
          <w:szCs w:val="24"/>
        </w:rPr>
        <w:t xml:space="preserve"> à ce</w:t>
      </w:r>
      <w:r w:rsidR="00B52B37" w:rsidRPr="00247541">
        <w:rPr>
          <w:rFonts w:asciiTheme="majorBidi" w:hAnsiTheme="majorBidi" w:cstheme="majorBidi"/>
          <w:sz w:val="24"/>
          <w:szCs w:val="24"/>
        </w:rPr>
        <w:t>ux</w:t>
      </w:r>
      <w:r w:rsidR="00E45D18" w:rsidRPr="00247541">
        <w:rPr>
          <w:rFonts w:asciiTheme="majorBidi" w:hAnsiTheme="majorBidi" w:cstheme="majorBidi"/>
          <w:sz w:val="24"/>
          <w:szCs w:val="24"/>
        </w:rPr>
        <w:t xml:space="preserve"> indiqué</w:t>
      </w:r>
      <w:r w:rsidR="00B52B37" w:rsidRPr="00247541">
        <w:rPr>
          <w:rFonts w:asciiTheme="majorBidi" w:hAnsiTheme="majorBidi" w:cstheme="majorBidi"/>
          <w:sz w:val="24"/>
          <w:szCs w:val="24"/>
        </w:rPr>
        <w:t>s</w:t>
      </w:r>
      <w:r w:rsidR="00E45D18" w:rsidRPr="00247541">
        <w:rPr>
          <w:rFonts w:asciiTheme="majorBidi" w:hAnsiTheme="majorBidi" w:cstheme="majorBidi"/>
          <w:sz w:val="24"/>
          <w:szCs w:val="24"/>
        </w:rPr>
        <w:t xml:space="preserve"> sur la décision</w:t>
      </w:r>
      <w:r w:rsidRPr="00247541">
        <w:rPr>
          <w:rFonts w:asciiTheme="majorBidi" w:hAnsiTheme="majorBidi" w:cstheme="majorBidi"/>
          <w:sz w:val="24"/>
          <w:szCs w:val="24"/>
        </w:rPr>
        <w:t xml:space="preserve">. </w:t>
      </w:r>
    </w:p>
    <w:p w:rsidR="00BF213E" w:rsidRPr="00247541" w:rsidRDefault="00BF213E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La valeur du fret ne doit pas dépasser le 1/3 de la valeur commerciale de la marchandise.</w:t>
      </w:r>
    </w:p>
    <w:p w:rsidR="00E627B2" w:rsidRPr="00247541" w:rsidRDefault="00E627B2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Les incoterms EXW</w:t>
      </w:r>
      <w:r w:rsidR="00EC3187">
        <w:rPr>
          <w:rStyle w:val="Appelnotedebasdep"/>
          <w:rFonts w:asciiTheme="majorBidi" w:hAnsiTheme="majorBidi" w:cstheme="majorBidi"/>
          <w:sz w:val="24"/>
          <w:szCs w:val="24"/>
        </w:rPr>
        <w:footnoteReference w:id="3"/>
      </w:r>
      <w:r w:rsidRPr="00247541">
        <w:rPr>
          <w:rFonts w:asciiTheme="majorBidi" w:hAnsiTheme="majorBidi" w:cstheme="majorBidi"/>
          <w:sz w:val="24"/>
          <w:szCs w:val="24"/>
        </w:rPr>
        <w:t>, FOB</w:t>
      </w:r>
      <w:r w:rsidR="00EC3187">
        <w:rPr>
          <w:rStyle w:val="Appelnotedebasdep"/>
          <w:rFonts w:asciiTheme="majorBidi" w:hAnsiTheme="majorBidi" w:cstheme="majorBidi"/>
          <w:sz w:val="24"/>
          <w:szCs w:val="24"/>
        </w:rPr>
        <w:footnoteReference w:id="4"/>
      </w:r>
      <w:r w:rsidRPr="00247541">
        <w:rPr>
          <w:rFonts w:asciiTheme="majorBidi" w:hAnsiTheme="majorBidi" w:cstheme="majorBidi"/>
          <w:sz w:val="24"/>
          <w:szCs w:val="24"/>
        </w:rPr>
        <w:t>, FAS</w:t>
      </w:r>
      <w:r w:rsidR="00EC3187">
        <w:rPr>
          <w:rStyle w:val="Appelnotedebasdep"/>
          <w:rFonts w:asciiTheme="majorBidi" w:hAnsiTheme="majorBidi" w:cstheme="majorBidi"/>
          <w:sz w:val="24"/>
          <w:szCs w:val="24"/>
        </w:rPr>
        <w:footnoteReference w:id="5"/>
      </w:r>
      <w:r w:rsidRPr="00247541">
        <w:rPr>
          <w:rFonts w:asciiTheme="majorBidi" w:hAnsiTheme="majorBidi" w:cstheme="majorBidi"/>
          <w:sz w:val="24"/>
          <w:szCs w:val="24"/>
        </w:rPr>
        <w:t xml:space="preserve"> et FCA</w:t>
      </w:r>
      <w:r w:rsidR="00EC3187">
        <w:rPr>
          <w:rStyle w:val="Appelnotedebasdep"/>
          <w:rFonts w:asciiTheme="majorBidi" w:hAnsiTheme="majorBidi" w:cstheme="majorBidi"/>
          <w:sz w:val="24"/>
          <w:szCs w:val="24"/>
        </w:rPr>
        <w:footnoteReference w:id="6"/>
      </w:r>
      <w:r w:rsidRPr="00247541">
        <w:rPr>
          <w:rFonts w:asciiTheme="majorBidi" w:hAnsiTheme="majorBidi" w:cstheme="majorBidi"/>
          <w:sz w:val="24"/>
          <w:szCs w:val="24"/>
        </w:rPr>
        <w:t xml:space="preserve"> signifient que l’exportateur ne supporte pas les frais du transport principal. Par</w:t>
      </w:r>
      <w:r w:rsidR="00925E97" w:rsidRPr="00247541">
        <w:rPr>
          <w:rFonts w:asciiTheme="majorBidi" w:hAnsiTheme="majorBidi" w:cstheme="majorBidi"/>
          <w:sz w:val="24"/>
          <w:szCs w:val="24"/>
        </w:rPr>
        <w:t xml:space="preserve"> conséquent, ces derniers ne s</w:t>
      </w:r>
      <w:r w:rsidRPr="00247541">
        <w:rPr>
          <w:rFonts w:asciiTheme="majorBidi" w:hAnsiTheme="majorBidi" w:cstheme="majorBidi"/>
          <w:sz w:val="24"/>
          <w:szCs w:val="24"/>
        </w:rPr>
        <w:t xml:space="preserve">ont pas </w:t>
      </w:r>
      <w:r w:rsidR="00925E97" w:rsidRPr="00247541">
        <w:rPr>
          <w:rFonts w:asciiTheme="majorBidi" w:hAnsiTheme="majorBidi" w:cstheme="majorBidi"/>
          <w:sz w:val="24"/>
          <w:szCs w:val="24"/>
        </w:rPr>
        <w:t>éligibles à la subvention</w:t>
      </w:r>
      <w:r w:rsidRPr="00247541">
        <w:rPr>
          <w:rFonts w:asciiTheme="majorBidi" w:hAnsiTheme="majorBidi" w:cstheme="majorBidi"/>
          <w:sz w:val="24"/>
          <w:szCs w:val="24"/>
        </w:rPr>
        <w:t xml:space="preserve">. </w:t>
      </w:r>
      <w:r w:rsidR="00A91A6D" w:rsidRPr="00247541">
        <w:rPr>
          <w:rFonts w:asciiTheme="majorBidi" w:hAnsiTheme="majorBidi" w:cstheme="majorBidi"/>
          <w:sz w:val="24"/>
          <w:szCs w:val="24"/>
        </w:rPr>
        <w:t>(</w:t>
      </w:r>
      <w:r w:rsidR="00214D2D" w:rsidRPr="00247541">
        <w:rPr>
          <w:rFonts w:asciiTheme="majorBidi" w:hAnsiTheme="majorBidi" w:cstheme="majorBidi"/>
          <w:sz w:val="24"/>
          <w:szCs w:val="24"/>
        </w:rPr>
        <w:t>la douane tunisienne</w:t>
      </w:r>
      <w:r w:rsidR="00A91A6D" w:rsidRPr="00247541">
        <w:rPr>
          <w:rFonts w:asciiTheme="majorBidi" w:hAnsiTheme="majorBidi" w:cstheme="majorBidi"/>
          <w:sz w:val="24"/>
          <w:szCs w:val="24"/>
        </w:rPr>
        <w:t xml:space="preserve">) </w:t>
      </w:r>
    </w:p>
    <w:p w:rsidR="00420814" w:rsidRPr="00247541" w:rsidRDefault="00420814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 xml:space="preserve">Les noms des entreprises exportatrices et importatrices indiqués sur la </w:t>
      </w:r>
      <w:r w:rsidR="0074682D" w:rsidRPr="00247541">
        <w:rPr>
          <w:rFonts w:asciiTheme="majorBidi" w:hAnsiTheme="majorBidi" w:cstheme="majorBidi"/>
          <w:sz w:val="24"/>
          <w:szCs w:val="24"/>
        </w:rPr>
        <w:t xml:space="preserve">facture </w:t>
      </w:r>
      <w:r w:rsidR="004C4FDC" w:rsidRPr="00247541">
        <w:rPr>
          <w:rFonts w:asciiTheme="majorBidi" w:hAnsiTheme="majorBidi" w:cstheme="majorBidi"/>
          <w:sz w:val="24"/>
          <w:szCs w:val="24"/>
        </w:rPr>
        <w:t>commerciale doivent</w:t>
      </w:r>
      <w:r w:rsidR="0074682D" w:rsidRPr="00247541">
        <w:rPr>
          <w:rFonts w:asciiTheme="majorBidi" w:hAnsiTheme="majorBidi" w:cstheme="majorBidi"/>
          <w:sz w:val="24"/>
          <w:szCs w:val="24"/>
        </w:rPr>
        <w:t xml:space="preserve"> être conformes à ceux indiqués sur l</w:t>
      </w:r>
      <w:r w:rsidR="00310263" w:rsidRPr="00247541">
        <w:rPr>
          <w:rFonts w:asciiTheme="majorBidi" w:hAnsiTheme="majorBidi" w:cstheme="majorBidi"/>
          <w:sz w:val="24"/>
          <w:szCs w:val="24"/>
        </w:rPr>
        <w:t>a déclaration et le contrat de transport</w:t>
      </w:r>
      <w:r w:rsidR="0074682D" w:rsidRPr="00247541">
        <w:rPr>
          <w:rFonts w:asciiTheme="majorBidi" w:hAnsiTheme="majorBidi" w:cstheme="majorBidi"/>
          <w:sz w:val="24"/>
          <w:szCs w:val="24"/>
        </w:rPr>
        <w:t>.</w:t>
      </w:r>
    </w:p>
    <w:p w:rsidR="0074682D" w:rsidRPr="00247541" w:rsidRDefault="00420814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La valeur commerciale indiquée sur la</w:t>
      </w:r>
      <w:r w:rsidR="0074682D" w:rsidRPr="00247541">
        <w:rPr>
          <w:rFonts w:asciiTheme="majorBidi" w:hAnsiTheme="majorBidi" w:cstheme="majorBidi"/>
          <w:sz w:val="24"/>
          <w:szCs w:val="24"/>
        </w:rPr>
        <w:t xml:space="preserve"> facture commerciale doit être conforme</w:t>
      </w:r>
      <w:r w:rsidRPr="00247541">
        <w:rPr>
          <w:rFonts w:asciiTheme="majorBidi" w:hAnsiTheme="majorBidi" w:cstheme="majorBidi"/>
          <w:sz w:val="24"/>
          <w:szCs w:val="24"/>
        </w:rPr>
        <w:t xml:space="preserve"> à celle </w:t>
      </w:r>
      <w:r w:rsidR="0074682D" w:rsidRPr="00247541">
        <w:rPr>
          <w:rFonts w:asciiTheme="majorBidi" w:hAnsiTheme="majorBidi" w:cstheme="majorBidi"/>
          <w:sz w:val="24"/>
          <w:szCs w:val="24"/>
        </w:rPr>
        <w:t>indiquée sur la déclaration.</w:t>
      </w:r>
    </w:p>
    <w:p w:rsidR="00420814" w:rsidRPr="00247541" w:rsidRDefault="003B6A1D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Les poids brut et net ainsi que le nombre de colis indiqués sur la facture commerciale doivent être conformes à ceux indiqués sur la déclaration, le connaissement et la facture de transport.</w:t>
      </w:r>
      <w:r w:rsidR="00D4126E" w:rsidRPr="00247541">
        <w:rPr>
          <w:rFonts w:asciiTheme="majorBidi" w:hAnsiTheme="majorBidi" w:cstheme="majorBidi"/>
          <w:sz w:val="24"/>
          <w:szCs w:val="24"/>
        </w:rPr>
        <w:t xml:space="preserve"> (voir page 4)</w:t>
      </w:r>
    </w:p>
    <w:p w:rsidR="003B6A1D" w:rsidRPr="00247541" w:rsidRDefault="003B6A1D" w:rsidP="00C9765A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Le numéro du connaissement ainsi que la référence des conteneurs indiqués sur le con</w:t>
      </w:r>
      <w:r w:rsidR="00105C4E" w:rsidRPr="00247541">
        <w:rPr>
          <w:rFonts w:asciiTheme="majorBidi" w:hAnsiTheme="majorBidi" w:cstheme="majorBidi"/>
          <w:sz w:val="24"/>
          <w:szCs w:val="24"/>
        </w:rPr>
        <w:t>trat de transport</w:t>
      </w:r>
      <w:r w:rsidRPr="00247541">
        <w:rPr>
          <w:rFonts w:asciiTheme="majorBidi" w:hAnsiTheme="majorBidi" w:cstheme="majorBidi"/>
          <w:sz w:val="24"/>
          <w:szCs w:val="24"/>
        </w:rPr>
        <w:t xml:space="preserve"> doivent être conformes à ceux indiqués sur la facture de transport.</w:t>
      </w:r>
    </w:p>
    <w:p w:rsidR="00EB6F90" w:rsidRDefault="00405253" w:rsidP="00EB6F90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7541">
        <w:rPr>
          <w:rFonts w:asciiTheme="majorBidi" w:hAnsiTheme="majorBidi" w:cstheme="majorBidi"/>
          <w:sz w:val="24"/>
          <w:szCs w:val="24"/>
        </w:rPr>
        <w:t>Le port de déchargement indiqué sur le connaissement doit être conforme à celui indiqué sur la facture de transport.</w:t>
      </w:r>
    </w:p>
    <w:p w:rsidR="00A131FC" w:rsidRPr="00A131FC" w:rsidRDefault="00A131FC" w:rsidP="00A131FC">
      <w:pPr>
        <w:pStyle w:val="Paragraphedeliste"/>
        <w:numPr>
          <w:ilvl w:val="0"/>
          <w:numId w:val="3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1FC">
        <w:rPr>
          <w:rFonts w:asciiTheme="majorBidi" w:hAnsiTheme="majorBidi" w:cstheme="majorBidi"/>
          <w:sz w:val="24"/>
          <w:szCs w:val="24"/>
        </w:rPr>
        <w:t>Le transport terrestre et  les charges y afférents, ainsi que les frais de manutention au port de chargement en  Tunisie ne sont pas pris en compte</w:t>
      </w:r>
      <w:r>
        <w:rPr>
          <w:rFonts w:asciiTheme="majorBidi" w:hAnsiTheme="majorBidi" w:cstheme="majorBidi"/>
          <w:sz w:val="24"/>
          <w:szCs w:val="24"/>
        </w:rPr>
        <w:t>.</w:t>
      </w:r>
      <w:r w:rsidRPr="00A131FC">
        <w:rPr>
          <w:rFonts w:asciiTheme="majorBidi" w:hAnsiTheme="majorBidi" w:cstheme="majorBidi"/>
          <w:sz w:val="24"/>
          <w:szCs w:val="24"/>
        </w:rPr>
        <w:t xml:space="preserve"> </w:t>
      </w:r>
    </w:p>
    <w:p w:rsidR="00247541" w:rsidRPr="00F1638B" w:rsidRDefault="00247541" w:rsidP="00C9765A">
      <w:pPr>
        <w:pStyle w:val="Paragraphedeliste"/>
        <w:numPr>
          <w:ilvl w:val="0"/>
          <w:numId w:val="3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73396A" w:rsidRPr="00A82E8D" w:rsidRDefault="0073396A" w:rsidP="00C9765A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07170" w:rsidRDefault="005767D7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="00907170" w:rsidRPr="002B04C0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4146F2" w:rsidRDefault="004146F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5D1D8D" w:rsidRDefault="005D1D8D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Grilledutableau"/>
        <w:tblW w:w="0" w:type="auto"/>
        <w:tblInd w:w="1668" w:type="dxa"/>
        <w:tblLook w:val="04A0"/>
      </w:tblPr>
      <w:tblGrid>
        <w:gridCol w:w="6378"/>
      </w:tblGrid>
      <w:tr w:rsidR="005A4190" w:rsidTr="005D1D8D">
        <w:tc>
          <w:tcPr>
            <w:tcW w:w="6378" w:type="dxa"/>
            <w:shd w:val="clear" w:color="auto" w:fill="F2F2F2" w:themeFill="background1" w:themeFillShade="F2"/>
          </w:tcPr>
          <w:p w:rsidR="005D1D8D" w:rsidRDefault="005D1D8D" w:rsidP="00C9765A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</w:p>
          <w:p w:rsidR="005A4190" w:rsidRDefault="005D1D8D" w:rsidP="00C9765A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VrS = min ( 1/3 VCrM, VrF, VSi ) * TS</m:t>
                </m:r>
              </m:oMath>
            </m:oMathPara>
          </w:p>
          <w:p w:rsidR="005D1D8D" w:rsidRPr="005D1D8D" w:rsidRDefault="005D1D8D" w:rsidP="00C9765A">
            <w:pPr>
              <w:jc w:val="both"/>
              <w:rPr>
                <w:oMath/>
                <w:rFonts w:ascii="Cambria Math" w:hAnsi="Cambria Math" w:cstheme="majorBidi"/>
                <w:sz w:val="28"/>
                <w:szCs w:val="28"/>
              </w:rPr>
            </w:pPr>
          </w:p>
        </w:tc>
      </w:tr>
    </w:tbl>
    <w:p w:rsidR="008B0EFD" w:rsidRPr="00796CF6" w:rsidRDefault="008B0EFD" w:rsidP="00C9765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46F2" w:rsidRDefault="004146F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87433F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A4E5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V</w:t>
      </w:r>
      <w:r w:rsidRPr="00AA4E51">
        <w:rPr>
          <w:rFonts w:asciiTheme="majorBidi" w:hAnsiTheme="majorBidi" w:cstheme="majorBidi"/>
          <w:sz w:val="24"/>
          <w:szCs w:val="24"/>
        </w:rPr>
        <w:t xml:space="preserve">aleur </w:t>
      </w:r>
      <w:r w:rsidR="001C7016">
        <w:rPr>
          <w:rFonts w:asciiTheme="majorBidi" w:hAnsiTheme="majorBidi" w:cstheme="majorBidi"/>
          <w:sz w:val="24"/>
          <w:szCs w:val="24"/>
        </w:rPr>
        <w:t>réelle</w:t>
      </w:r>
      <w:r w:rsidRPr="00AA4E51">
        <w:rPr>
          <w:rFonts w:asciiTheme="majorBidi" w:hAnsiTheme="majorBidi" w:cstheme="majorBidi"/>
          <w:sz w:val="24"/>
          <w:szCs w:val="24"/>
        </w:rPr>
        <w:t xml:space="preserve"> subvention.</w:t>
      </w:r>
    </w:p>
    <w:p w:rsidR="004146F2" w:rsidRDefault="004146F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VC</w:t>
      </w:r>
      <w:r w:rsidR="0087433F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>M :</w:t>
      </w:r>
      <w:r>
        <w:rPr>
          <w:rFonts w:asciiTheme="majorBidi" w:hAnsiTheme="majorBidi" w:cstheme="majorBidi"/>
          <w:sz w:val="24"/>
          <w:szCs w:val="24"/>
        </w:rPr>
        <w:t xml:space="preserve"> Valeur commerciale</w:t>
      </w:r>
      <w:r w:rsidR="00122BE5">
        <w:rPr>
          <w:rFonts w:asciiTheme="majorBidi" w:hAnsiTheme="majorBidi" w:cstheme="majorBidi"/>
          <w:sz w:val="24"/>
          <w:szCs w:val="24"/>
        </w:rPr>
        <w:t xml:space="preserve"> réelle</w:t>
      </w:r>
      <w:r>
        <w:rPr>
          <w:rFonts w:asciiTheme="majorBidi" w:hAnsiTheme="majorBidi" w:cstheme="majorBidi"/>
          <w:sz w:val="24"/>
          <w:szCs w:val="24"/>
        </w:rPr>
        <w:t xml:space="preserve"> de la marchandise.</w:t>
      </w:r>
    </w:p>
    <w:p w:rsidR="004146F2" w:rsidRDefault="004146F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87433F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>F :</w:t>
      </w:r>
      <w:r>
        <w:rPr>
          <w:rFonts w:asciiTheme="majorBidi" w:hAnsiTheme="majorBidi" w:cstheme="majorBidi"/>
          <w:sz w:val="24"/>
          <w:szCs w:val="24"/>
        </w:rPr>
        <w:t xml:space="preserve"> Valeur</w:t>
      </w:r>
      <w:r w:rsidR="00122BE5">
        <w:rPr>
          <w:rFonts w:asciiTheme="majorBidi" w:hAnsiTheme="majorBidi" w:cstheme="majorBidi"/>
          <w:sz w:val="24"/>
          <w:szCs w:val="24"/>
        </w:rPr>
        <w:t xml:space="preserve"> réelle</w:t>
      </w:r>
      <w:r>
        <w:rPr>
          <w:rFonts w:asciiTheme="majorBidi" w:hAnsiTheme="majorBidi" w:cstheme="majorBidi"/>
          <w:sz w:val="24"/>
          <w:szCs w:val="24"/>
        </w:rPr>
        <w:t xml:space="preserve"> du fret.</w:t>
      </w:r>
    </w:p>
    <w:p w:rsidR="00F92595" w:rsidRDefault="0087433F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5233B3">
        <w:rPr>
          <w:rFonts w:asciiTheme="majorBidi" w:hAnsiTheme="majorBidi" w:cstheme="majorBidi"/>
          <w:b/>
          <w:bCs/>
          <w:sz w:val="24"/>
          <w:szCs w:val="24"/>
        </w:rPr>
        <w:t>Si</w:t>
      </w:r>
      <w:r w:rsidR="00F92595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F92595">
        <w:rPr>
          <w:rFonts w:asciiTheme="majorBidi" w:hAnsiTheme="majorBidi" w:cstheme="majorBidi"/>
          <w:sz w:val="24"/>
          <w:szCs w:val="24"/>
        </w:rPr>
        <w:t xml:space="preserve"> Valeur </w:t>
      </w:r>
      <w:r w:rsidR="005233B3">
        <w:rPr>
          <w:rFonts w:asciiTheme="majorBidi" w:hAnsiTheme="majorBidi" w:cstheme="majorBidi"/>
          <w:sz w:val="24"/>
          <w:szCs w:val="24"/>
        </w:rPr>
        <w:t>subvention instruction</w:t>
      </w:r>
      <w:r w:rsidR="00F92595">
        <w:rPr>
          <w:rFonts w:asciiTheme="majorBidi" w:hAnsiTheme="majorBidi" w:cstheme="majorBidi"/>
          <w:sz w:val="24"/>
          <w:szCs w:val="24"/>
        </w:rPr>
        <w:t>.</w:t>
      </w:r>
    </w:p>
    <w:p w:rsidR="00B74DE4" w:rsidRDefault="004146F2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TS :</w:t>
      </w:r>
      <w:r>
        <w:rPr>
          <w:rFonts w:asciiTheme="majorBidi" w:hAnsiTheme="majorBidi" w:cstheme="majorBidi"/>
          <w:sz w:val="24"/>
          <w:szCs w:val="24"/>
        </w:rPr>
        <w:t xml:space="preserve"> Taux de la subvention.</w:t>
      </w:r>
    </w:p>
    <w:p w:rsidR="00DD44A3" w:rsidRPr="00DD44A3" w:rsidRDefault="00DD44A3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74DE4" w:rsidRPr="00D869DE" w:rsidRDefault="00061DDF" w:rsidP="00C9765A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</w:t>
      </w:r>
      <w:r w:rsidR="009839D7">
        <w:rPr>
          <w:rFonts w:asciiTheme="majorBidi" w:hAnsiTheme="majorBidi" w:cstheme="majorBidi"/>
          <w:b/>
          <w:bCs/>
          <w:sz w:val="24"/>
          <w:szCs w:val="24"/>
          <w:u w:val="single"/>
        </w:rPr>
        <w:t>EMARQUES</w:t>
      </w:r>
      <w:r w:rsidR="00D869DE" w:rsidRPr="00D869DE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0E2F95" w:rsidRPr="005D1D8D" w:rsidRDefault="007179A4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1D8D">
        <w:rPr>
          <w:rFonts w:asciiTheme="majorBidi" w:hAnsiTheme="majorBidi" w:cstheme="majorBidi"/>
          <w:sz w:val="24"/>
          <w:szCs w:val="24"/>
        </w:rPr>
        <w:t xml:space="preserve">Si le poids indiqué sur </w:t>
      </w:r>
      <w:r w:rsidR="00A0165A" w:rsidRPr="005D1D8D">
        <w:rPr>
          <w:rFonts w:asciiTheme="majorBidi" w:hAnsiTheme="majorBidi" w:cstheme="majorBidi"/>
          <w:sz w:val="24"/>
          <w:szCs w:val="24"/>
        </w:rPr>
        <w:t>le contrat de transport</w:t>
      </w:r>
      <w:r w:rsidRPr="005D1D8D">
        <w:rPr>
          <w:rFonts w:asciiTheme="majorBidi" w:hAnsiTheme="majorBidi" w:cstheme="majorBidi"/>
          <w:sz w:val="24"/>
          <w:szCs w:val="24"/>
        </w:rPr>
        <w:t xml:space="preserve"> est supérieur </w:t>
      </w:r>
      <w:r w:rsidR="00F72DF5" w:rsidRPr="005D1D8D">
        <w:rPr>
          <w:rFonts w:asciiTheme="majorBidi" w:hAnsiTheme="majorBidi" w:cstheme="majorBidi"/>
          <w:sz w:val="24"/>
          <w:szCs w:val="24"/>
        </w:rPr>
        <w:t>à celui</w:t>
      </w:r>
      <w:r w:rsidRPr="005D1D8D">
        <w:rPr>
          <w:rFonts w:asciiTheme="majorBidi" w:hAnsiTheme="majorBidi" w:cstheme="majorBidi"/>
          <w:sz w:val="24"/>
          <w:szCs w:val="24"/>
        </w:rPr>
        <w:t xml:space="preserve"> indiqué sur la facture commerciale, </w:t>
      </w:r>
      <w:r w:rsidR="004043B4" w:rsidRPr="005D1D8D">
        <w:rPr>
          <w:rFonts w:asciiTheme="majorBidi" w:hAnsiTheme="majorBidi" w:cstheme="majorBidi"/>
          <w:sz w:val="24"/>
          <w:szCs w:val="24"/>
        </w:rPr>
        <w:t xml:space="preserve">alors </w:t>
      </w:r>
      <w:r w:rsidR="00DE3723" w:rsidRPr="005D1D8D">
        <w:rPr>
          <w:rFonts w:asciiTheme="majorBidi" w:hAnsiTheme="majorBidi" w:cstheme="majorBidi"/>
          <w:sz w:val="24"/>
          <w:szCs w:val="24"/>
        </w:rPr>
        <w:t>le coût du transport</w:t>
      </w:r>
      <w:r w:rsidR="00D02E6D" w:rsidRPr="005D1D8D">
        <w:rPr>
          <w:rFonts w:asciiTheme="majorBidi" w:hAnsiTheme="majorBidi" w:cstheme="majorBidi"/>
          <w:sz w:val="24"/>
          <w:szCs w:val="24"/>
        </w:rPr>
        <w:t xml:space="preserve"> principal</w:t>
      </w:r>
      <w:r w:rsidR="00DE3723" w:rsidRPr="005D1D8D">
        <w:rPr>
          <w:rFonts w:asciiTheme="majorBidi" w:hAnsiTheme="majorBidi" w:cstheme="majorBidi"/>
          <w:sz w:val="24"/>
          <w:szCs w:val="24"/>
        </w:rPr>
        <w:t xml:space="preserve"> sera </w:t>
      </w:r>
      <w:r w:rsidR="0066434F" w:rsidRPr="005D1D8D">
        <w:rPr>
          <w:rFonts w:asciiTheme="majorBidi" w:hAnsiTheme="majorBidi" w:cstheme="majorBidi"/>
          <w:sz w:val="24"/>
          <w:szCs w:val="24"/>
        </w:rPr>
        <w:t>calculé au</w:t>
      </w:r>
      <w:r w:rsidR="00CA2B7F" w:rsidRPr="005D1D8D">
        <w:rPr>
          <w:rFonts w:asciiTheme="majorBidi" w:hAnsiTheme="majorBidi" w:cstheme="majorBidi"/>
          <w:sz w:val="24"/>
          <w:szCs w:val="24"/>
        </w:rPr>
        <w:t xml:space="preserve"> prorata du poids indiqué sur la facture </w:t>
      </w:r>
      <w:r w:rsidR="0066434F" w:rsidRPr="005D1D8D">
        <w:rPr>
          <w:rFonts w:asciiTheme="majorBidi" w:hAnsiTheme="majorBidi" w:cstheme="majorBidi"/>
          <w:sz w:val="24"/>
          <w:szCs w:val="24"/>
        </w:rPr>
        <w:t>commerciale. Ceci</w:t>
      </w:r>
      <w:r w:rsidR="008E7DFD" w:rsidRPr="005D1D8D">
        <w:rPr>
          <w:rFonts w:asciiTheme="majorBidi" w:hAnsiTheme="majorBidi" w:cstheme="majorBidi"/>
          <w:sz w:val="24"/>
          <w:szCs w:val="24"/>
        </w:rPr>
        <w:t xml:space="preserve"> n’est pas applicable pour le transport aérien</w:t>
      </w:r>
      <w:r w:rsidR="00F548CD" w:rsidRPr="005D1D8D">
        <w:rPr>
          <w:rFonts w:asciiTheme="majorBidi" w:hAnsiTheme="majorBidi" w:cstheme="majorBidi"/>
          <w:sz w:val="24"/>
          <w:szCs w:val="24"/>
        </w:rPr>
        <w:t>. En effet,</w:t>
      </w:r>
      <w:r w:rsidR="006225F7" w:rsidRPr="005D1D8D">
        <w:rPr>
          <w:rFonts w:asciiTheme="majorBidi" w:hAnsiTheme="majorBidi" w:cstheme="majorBidi"/>
          <w:sz w:val="24"/>
          <w:szCs w:val="24"/>
        </w:rPr>
        <w:t xml:space="preserve"> notre référence dan</w:t>
      </w:r>
      <w:r w:rsidR="00F548CD" w:rsidRPr="005D1D8D">
        <w:rPr>
          <w:rFonts w:asciiTheme="majorBidi" w:hAnsiTheme="majorBidi" w:cstheme="majorBidi"/>
          <w:sz w:val="24"/>
          <w:szCs w:val="24"/>
        </w:rPr>
        <w:t>s ce cas est le nombre de colis ; Si le nombre de colis indiqué sur la LTA</w:t>
      </w:r>
      <w:r w:rsidR="000C4F5C" w:rsidRPr="00D46091">
        <w:rPr>
          <w:rStyle w:val="Appelnotedebasdep"/>
          <w:rFonts w:asciiTheme="majorBidi" w:hAnsiTheme="majorBidi" w:cstheme="majorBidi"/>
          <w:sz w:val="24"/>
          <w:szCs w:val="24"/>
        </w:rPr>
        <w:footnoteReference w:id="7"/>
      </w:r>
      <w:r w:rsidR="00F548CD" w:rsidRPr="005D1D8D">
        <w:rPr>
          <w:rFonts w:asciiTheme="majorBidi" w:hAnsiTheme="majorBidi" w:cstheme="majorBidi"/>
          <w:sz w:val="24"/>
          <w:szCs w:val="24"/>
        </w:rPr>
        <w:t xml:space="preserve"> est supérieur à celui indiqué sur la facture commerciale, </w:t>
      </w:r>
      <w:r w:rsidR="00DE3723" w:rsidRPr="005D1D8D">
        <w:rPr>
          <w:rFonts w:asciiTheme="majorBidi" w:hAnsiTheme="majorBidi" w:cstheme="majorBidi"/>
          <w:sz w:val="24"/>
          <w:szCs w:val="24"/>
        </w:rPr>
        <w:t>alors le coût du transport</w:t>
      </w:r>
      <w:r w:rsidR="00D02E6D" w:rsidRPr="005D1D8D">
        <w:rPr>
          <w:rFonts w:asciiTheme="majorBidi" w:hAnsiTheme="majorBidi" w:cstheme="majorBidi"/>
          <w:sz w:val="24"/>
          <w:szCs w:val="24"/>
        </w:rPr>
        <w:t xml:space="preserve"> principal</w:t>
      </w:r>
      <w:r w:rsidR="00DE3723" w:rsidRPr="005D1D8D">
        <w:rPr>
          <w:rFonts w:asciiTheme="majorBidi" w:hAnsiTheme="majorBidi" w:cstheme="majorBidi"/>
          <w:sz w:val="24"/>
          <w:szCs w:val="24"/>
        </w:rPr>
        <w:t xml:space="preserve"> sera calculé au prorata du nombre de colis indiqué sur la facture commerciale.</w:t>
      </w:r>
    </w:p>
    <w:p w:rsidR="0098592C" w:rsidRPr="005D1D8D" w:rsidRDefault="007B6003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En cas de non-conformité entre la déclaration douanière et la f</w:t>
      </w:r>
      <w:r w:rsidR="00626798" w:rsidRPr="005D1D8D">
        <w:rPr>
          <w:rFonts w:asciiTheme="majorBidi" w:hAnsiTheme="majorBidi" w:cstheme="majorBidi"/>
          <w:sz w:val="24"/>
          <w:szCs w:val="24"/>
        </w:rPr>
        <w:t>acture commerciale,</w:t>
      </w:r>
      <w:r w:rsidRPr="005D1D8D">
        <w:rPr>
          <w:rFonts w:asciiTheme="majorBidi" w:hAnsiTheme="majorBidi" w:cstheme="majorBidi"/>
          <w:sz w:val="24"/>
          <w:szCs w:val="24"/>
        </w:rPr>
        <w:t xml:space="preserve"> </w:t>
      </w:r>
      <w:r w:rsidR="00A0165A" w:rsidRPr="005D1D8D">
        <w:rPr>
          <w:rFonts w:asciiTheme="majorBidi" w:hAnsiTheme="majorBidi" w:cstheme="majorBidi"/>
          <w:sz w:val="24"/>
          <w:szCs w:val="24"/>
        </w:rPr>
        <w:t>les éléments pris en compte sont ceux indiqués sur la facture commerciale</w:t>
      </w:r>
      <w:r w:rsidRPr="005D1D8D">
        <w:rPr>
          <w:rFonts w:asciiTheme="majorBidi" w:hAnsiTheme="majorBidi" w:cstheme="majorBidi"/>
          <w:sz w:val="24"/>
          <w:szCs w:val="24"/>
        </w:rPr>
        <w:t xml:space="preserve">. </w:t>
      </w:r>
    </w:p>
    <w:p w:rsidR="005355FD" w:rsidRPr="005D1D8D" w:rsidRDefault="005355FD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En cas de non-conformité entre les produits indiqués sur la facture commerciale et ceux indiqués sur l’alinéa, dans ce cas, on retiendra seulement les produits indiqués sur l’alinéa.</w:t>
      </w:r>
    </w:p>
    <w:p w:rsidR="005355FD" w:rsidRPr="005D1D8D" w:rsidRDefault="005355FD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 xml:space="preserve">Si le produit indiqué sur la facture commerciale et l’alinéa sont de la même famille, la demande sera acceptée. </w:t>
      </w:r>
    </w:p>
    <w:p w:rsidR="00805FEA" w:rsidRPr="005D1D8D" w:rsidRDefault="00C12B3C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 xml:space="preserve">Si les produits indiqués sur la facture commerciale appartiennent à différents alinéas, dans ce cas, la subvention sera </w:t>
      </w:r>
      <w:r w:rsidR="00DE62B4" w:rsidRPr="005D1D8D">
        <w:rPr>
          <w:rFonts w:asciiTheme="majorBidi" w:hAnsiTheme="majorBidi" w:cstheme="majorBidi"/>
          <w:sz w:val="24"/>
          <w:szCs w:val="24"/>
        </w:rPr>
        <w:t xml:space="preserve">traitée sur plusieurs alinéas. </w:t>
      </w:r>
      <w:r w:rsidRPr="005D1D8D">
        <w:rPr>
          <w:rFonts w:asciiTheme="majorBidi" w:hAnsiTheme="majorBidi" w:cstheme="majorBidi"/>
          <w:sz w:val="24"/>
          <w:szCs w:val="24"/>
        </w:rPr>
        <w:t xml:space="preserve"> </w:t>
      </w:r>
    </w:p>
    <w:p w:rsidR="00BD1708" w:rsidRPr="005D1D8D" w:rsidRDefault="00BD1708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L’huile d’olive exportée dans des conteneurs dont la contenance est inférieure ou égale à 5 L est considérée conditionnée. Au-delà de 5 L, elle est considérée VRAC</w:t>
      </w:r>
      <w:r w:rsidR="0026371B" w:rsidRPr="005D1D8D">
        <w:rPr>
          <w:rFonts w:asciiTheme="majorBidi" w:hAnsiTheme="majorBidi" w:cstheme="majorBidi"/>
          <w:sz w:val="24"/>
          <w:szCs w:val="24"/>
        </w:rPr>
        <w:t xml:space="preserve">. </w:t>
      </w:r>
    </w:p>
    <w:p w:rsidR="00DA461F" w:rsidRPr="005D1D8D" w:rsidRDefault="00DA461F" w:rsidP="00C9765A">
      <w:pPr>
        <w:pStyle w:val="Paragraphedeliste"/>
        <w:numPr>
          <w:ilvl w:val="0"/>
          <w:numId w:val="3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Le prorata sur la valeur commerciale s’applique lorsque :</w:t>
      </w:r>
    </w:p>
    <w:p w:rsidR="00DA461F" w:rsidRPr="005D1D8D" w:rsidRDefault="00DA461F" w:rsidP="00C9765A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La facture se traite sur plusieurs alinéas.</w:t>
      </w:r>
    </w:p>
    <w:p w:rsidR="00DA461F" w:rsidRPr="005D1D8D" w:rsidRDefault="00DA461F" w:rsidP="00C9765A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La facture commerciale est accompagnée de deux ou plusieurs connaissements et de deux ou plusieurs factures de transport.</w:t>
      </w:r>
    </w:p>
    <w:p w:rsidR="00D2599D" w:rsidRPr="005D1D8D" w:rsidRDefault="00D2599D" w:rsidP="00C9765A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D1D8D">
        <w:rPr>
          <w:rFonts w:asciiTheme="majorBidi" w:hAnsiTheme="majorBidi" w:cstheme="majorBidi"/>
          <w:sz w:val="24"/>
          <w:szCs w:val="24"/>
        </w:rPr>
        <w:t>Les produits indiqués sur la facture commerciale ne sont pas conformes à ceux indiqués sur l’alinéa.</w:t>
      </w:r>
    </w:p>
    <w:p w:rsidR="001E258B" w:rsidRDefault="001E258B" w:rsidP="00C9765A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9B40F1" w:rsidRPr="009D1EBB" w:rsidRDefault="009B40F1" w:rsidP="00C9765A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9B40F1" w:rsidRPr="009D1EBB" w:rsidSect="001F6D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02E" w:rsidRDefault="0089102E" w:rsidP="00AA6785">
      <w:pPr>
        <w:spacing w:after="0" w:line="240" w:lineRule="auto"/>
      </w:pPr>
      <w:r>
        <w:separator/>
      </w:r>
    </w:p>
  </w:endnote>
  <w:endnote w:type="continuationSeparator" w:id="1">
    <w:p w:rsidR="0089102E" w:rsidRDefault="0089102E" w:rsidP="00AA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20668"/>
      <w:docPartObj>
        <w:docPartGallery w:val="Page Numbers (Bottom of Page)"/>
        <w:docPartUnique/>
      </w:docPartObj>
    </w:sdtPr>
    <w:sdtContent>
      <w:p w:rsidR="00805FEA" w:rsidRDefault="00E2709D">
        <w:pPr>
          <w:pStyle w:val="Pieddepage"/>
          <w:jc w:val="right"/>
        </w:pPr>
        <w:fldSimple w:instr="PAGE   \* MERGEFORMAT">
          <w:r w:rsidR="00C158E8">
            <w:rPr>
              <w:noProof/>
            </w:rPr>
            <w:t>2</w:t>
          </w:r>
        </w:fldSimple>
      </w:p>
    </w:sdtContent>
  </w:sdt>
  <w:p w:rsidR="00805FEA" w:rsidRDefault="00805F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02E" w:rsidRDefault="0089102E" w:rsidP="00AA6785">
      <w:pPr>
        <w:spacing w:after="0" w:line="240" w:lineRule="auto"/>
      </w:pPr>
      <w:r>
        <w:separator/>
      </w:r>
    </w:p>
  </w:footnote>
  <w:footnote w:type="continuationSeparator" w:id="1">
    <w:p w:rsidR="0089102E" w:rsidRDefault="0089102E" w:rsidP="00AA6785">
      <w:pPr>
        <w:spacing w:after="0" w:line="240" w:lineRule="auto"/>
      </w:pPr>
      <w:r>
        <w:continuationSeparator/>
      </w:r>
    </w:p>
  </w:footnote>
  <w:footnote w:id="2">
    <w:p w:rsidR="00805FEA" w:rsidRDefault="00805FEA">
      <w:pPr>
        <w:pStyle w:val="Notedebasdepage"/>
      </w:pPr>
      <w:r>
        <w:rPr>
          <w:rStyle w:val="Appelnotedebasdep"/>
        </w:rPr>
        <w:footnoteRef/>
      </w:r>
      <w:r>
        <w:t xml:space="preserve"> ONA : Office National de l’Artisanat.</w:t>
      </w:r>
    </w:p>
  </w:footnote>
  <w:footnote w:id="3">
    <w:p w:rsidR="00805FEA" w:rsidRPr="00EC3187" w:rsidRDefault="00805FE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C3187">
        <w:rPr>
          <w:lang w:val="en-US"/>
        </w:rPr>
        <w:t>EXW: EXWORKS.</w:t>
      </w:r>
    </w:p>
  </w:footnote>
  <w:footnote w:id="4">
    <w:p w:rsidR="00805FEA" w:rsidRPr="00EC3187" w:rsidRDefault="00805FE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C3187">
        <w:rPr>
          <w:lang w:val="en-US"/>
        </w:rPr>
        <w:t>FOB: Free On Board.</w:t>
      </w:r>
    </w:p>
  </w:footnote>
  <w:footnote w:id="5">
    <w:p w:rsidR="00805FEA" w:rsidRPr="00BB219A" w:rsidRDefault="00805FE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BB219A">
        <w:rPr>
          <w:lang w:val="en-US"/>
        </w:rPr>
        <w:t>FAS: Free Alongside Ship.</w:t>
      </w:r>
    </w:p>
  </w:footnote>
  <w:footnote w:id="6">
    <w:p w:rsidR="00805FEA" w:rsidRPr="00BF6E91" w:rsidRDefault="00805FE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BF6E91">
        <w:rPr>
          <w:lang w:val="en-US"/>
        </w:rPr>
        <w:t>FCA: Free Carrier.</w:t>
      </w:r>
    </w:p>
  </w:footnote>
  <w:footnote w:id="7">
    <w:p w:rsidR="00805FEA" w:rsidRDefault="00805FEA">
      <w:pPr>
        <w:pStyle w:val="Notedebasdepage"/>
      </w:pPr>
      <w:r>
        <w:rPr>
          <w:rStyle w:val="Appelnotedebasdep"/>
        </w:rPr>
        <w:footnoteRef/>
      </w:r>
      <w:r>
        <w:t xml:space="preserve"> LTA : Lettre de transport aérien.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B83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038D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0E78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5029"/>
    <w:multiLevelType w:val="hybridMultilevel"/>
    <w:tmpl w:val="9B8A68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A76D8"/>
    <w:multiLevelType w:val="hybridMultilevel"/>
    <w:tmpl w:val="1F8A4B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497940"/>
    <w:multiLevelType w:val="hybridMultilevel"/>
    <w:tmpl w:val="36D84D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4D0194"/>
    <w:multiLevelType w:val="hybridMultilevel"/>
    <w:tmpl w:val="539A8B4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859B6"/>
    <w:multiLevelType w:val="hybridMultilevel"/>
    <w:tmpl w:val="6734B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D27B4"/>
    <w:multiLevelType w:val="hybridMultilevel"/>
    <w:tmpl w:val="C5EEDE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127B35"/>
    <w:multiLevelType w:val="hybridMultilevel"/>
    <w:tmpl w:val="06D0CC6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537F22"/>
    <w:multiLevelType w:val="hybridMultilevel"/>
    <w:tmpl w:val="539A8B4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D0F9D"/>
    <w:multiLevelType w:val="hybridMultilevel"/>
    <w:tmpl w:val="24E6D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A5E57"/>
    <w:multiLevelType w:val="hybridMultilevel"/>
    <w:tmpl w:val="CE86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070D7"/>
    <w:multiLevelType w:val="hybridMultilevel"/>
    <w:tmpl w:val="7FA8F4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FC2FC9"/>
    <w:multiLevelType w:val="hybridMultilevel"/>
    <w:tmpl w:val="F0B86D36"/>
    <w:lvl w:ilvl="0" w:tplc="8A9862D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98494D"/>
    <w:multiLevelType w:val="hybridMultilevel"/>
    <w:tmpl w:val="8BF236F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C414E7E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805AD"/>
    <w:multiLevelType w:val="hybridMultilevel"/>
    <w:tmpl w:val="CF6039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27253B"/>
    <w:multiLevelType w:val="hybridMultilevel"/>
    <w:tmpl w:val="27487C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0C272B"/>
    <w:multiLevelType w:val="hybridMultilevel"/>
    <w:tmpl w:val="B254DB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9A7D7D"/>
    <w:multiLevelType w:val="hybridMultilevel"/>
    <w:tmpl w:val="A8BE0934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042E0"/>
    <w:multiLevelType w:val="hybridMultilevel"/>
    <w:tmpl w:val="BF6637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205E16"/>
    <w:multiLevelType w:val="hybridMultilevel"/>
    <w:tmpl w:val="8B3641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BD6825"/>
    <w:multiLevelType w:val="hybridMultilevel"/>
    <w:tmpl w:val="D814253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40B27"/>
    <w:multiLevelType w:val="hybridMultilevel"/>
    <w:tmpl w:val="357425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74F21"/>
    <w:multiLevelType w:val="hybridMultilevel"/>
    <w:tmpl w:val="3BD26D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78212E"/>
    <w:multiLevelType w:val="hybridMultilevel"/>
    <w:tmpl w:val="62663FAC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9315F"/>
    <w:multiLevelType w:val="hybridMultilevel"/>
    <w:tmpl w:val="0180F87A"/>
    <w:lvl w:ilvl="0" w:tplc="8A9862D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D6A59D8"/>
    <w:multiLevelType w:val="hybridMultilevel"/>
    <w:tmpl w:val="020A9B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E41C0"/>
    <w:multiLevelType w:val="hybridMultilevel"/>
    <w:tmpl w:val="576094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6E3AC7"/>
    <w:multiLevelType w:val="hybridMultilevel"/>
    <w:tmpl w:val="FEB4D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D1C98"/>
    <w:multiLevelType w:val="hybridMultilevel"/>
    <w:tmpl w:val="E5A21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F4293"/>
    <w:multiLevelType w:val="hybridMultilevel"/>
    <w:tmpl w:val="F5B256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322E62"/>
    <w:multiLevelType w:val="hybridMultilevel"/>
    <w:tmpl w:val="5E2666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435784"/>
    <w:multiLevelType w:val="hybridMultilevel"/>
    <w:tmpl w:val="93188E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9"/>
  </w:num>
  <w:num w:numId="5">
    <w:abstractNumId w:val="26"/>
  </w:num>
  <w:num w:numId="6">
    <w:abstractNumId w:val="2"/>
  </w:num>
  <w:num w:numId="7">
    <w:abstractNumId w:val="0"/>
  </w:num>
  <w:num w:numId="8">
    <w:abstractNumId w:val="23"/>
  </w:num>
  <w:num w:numId="9">
    <w:abstractNumId w:val="18"/>
  </w:num>
  <w:num w:numId="10">
    <w:abstractNumId w:val="30"/>
  </w:num>
  <w:num w:numId="11">
    <w:abstractNumId w:val="17"/>
  </w:num>
  <w:num w:numId="12">
    <w:abstractNumId w:val="4"/>
  </w:num>
  <w:num w:numId="13">
    <w:abstractNumId w:val="35"/>
  </w:num>
  <w:num w:numId="14">
    <w:abstractNumId w:val="22"/>
  </w:num>
  <w:num w:numId="15">
    <w:abstractNumId w:val="11"/>
  </w:num>
  <w:num w:numId="16">
    <w:abstractNumId w:val="34"/>
  </w:num>
  <w:num w:numId="17">
    <w:abstractNumId w:val="7"/>
  </w:num>
  <w:num w:numId="18">
    <w:abstractNumId w:val="25"/>
  </w:num>
  <w:num w:numId="19">
    <w:abstractNumId w:val="33"/>
  </w:num>
  <w:num w:numId="20">
    <w:abstractNumId w:val="24"/>
  </w:num>
  <w:num w:numId="21">
    <w:abstractNumId w:val="28"/>
  </w:num>
  <w:num w:numId="22">
    <w:abstractNumId w:val="15"/>
  </w:num>
  <w:num w:numId="23">
    <w:abstractNumId w:val="13"/>
  </w:num>
  <w:num w:numId="24">
    <w:abstractNumId w:val="5"/>
  </w:num>
  <w:num w:numId="25">
    <w:abstractNumId w:val="16"/>
  </w:num>
  <w:num w:numId="26">
    <w:abstractNumId w:val="14"/>
  </w:num>
  <w:num w:numId="27">
    <w:abstractNumId w:val="10"/>
  </w:num>
  <w:num w:numId="28">
    <w:abstractNumId w:val="20"/>
  </w:num>
  <w:num w:numId="29">
    <w:abstractNumId w:val="27"/>
  </w:num>
  <w:num w:numId="30">
    <w:abstractNumId w:val="29"/>
  </w:num>
  <w:num w:numId="31">
    <w:abstractNumId w:val="21"/>
  </w:num>
  <w:num w:numId="32">
    <w:abstractNumId w:val="32"/>
  </w:num>
  <w:num w:numId="33">
    <w:abstractNumId w:val="3"/>
  </w:num>
  <w:num w:numId="34">
    <w:abstractNumId w:val="31"/>
  </w:num>
  <w:num w:numId="35">
    <w:abstractNumId w:val="8"/>
  </w:num>
  <w:num w:numId="36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351E7A"/>
    <w:rsid w:val="00001DD6"/>
    <w:rsid w:val="00003DC7"/>
    <w:rsid w:val="000040E8"/>
    <w:rsid w:val="000042F0"/>
    <w:rsid w:val="00004D0B"/>
    <w:rsid w:val="00007CEC"/>
    <w:rsid w:val="00010E21"/>
    <w:rsid w:val="00016EAA"/>
    <w:rsid w:val="00021077"/>
    <w:rsid w:val="0002279B"/>
    <w:rsid w:val="00022EFB"/>
    <w:rsid w:val="000238D0"/>
    <w:rsid w:val="00025AD5"/>
    <w:rsid w:val="000278BE"/>
    <w:rsid w:val="00030833"/>
    <w:rsid w:val="000320B5"/>
    <w:rsid w:val="0003489E"/>
    <w:rsid w:val="00035796"/>
    <w:rsid w:val="00040062"/>
    <w:rsid w:val="0004088A"/>
    <w:rsid w:val="000409D3"/>
    <w:rsid w:val="000412E9"/>
    <w:rsid w:val="00043FCD"/>
    <w:rsid w:val="00051F81"/>
    <w:rsid w:val="00055506"/>
    <w:rsid w:val="0006001E"/>
    <w:rsid w:val="0006058B"/>
    <w:rsid w:val="000616DD"/>
    <w:rsid w:val="00061B97"/>
    <w:rsid w:val="00061DDF"/>
    <w:rsid w:val="00073255"/>
    <w:rsid w:val="00073A5B"/>
    <w:rsid w:val="00074BE6"/>
    <w:rsid w:val="0007523B"/>
    <w:rsid w:val="00076FBB"/>
    <w:rsid w:val="0008159F"/>
    <w:rsid w:val="00082465"/>
    <w:rsid w:val="00084D2E"/>
    <w:rsid w:val="00086B87"/>
    <w:rsid w:val="00086BEA"/>
    <w:rsid w:val="00087189"/>
    <w:rsid w:val="00091262"/>
    <w:rsid w:val="000934B0"/>
    <w:rsid w:val="00096237"/>
    <w:rsid w:val="00097B44"/>
    <w:rsid w:val="00097EE8"/>
    <w:rsid w:val="000A1AF9"/>
    <w:rsid w:val="000A250D"/>
    <w:rsid w:val="000A355A"/>
    <w:rsid w:val="000A6398"/>
    <w:rsid w:val="000B0861"/>
    <w:rsid w:val="000B0A97"/>
    <w:rsid w:val="000C0807"/>
    <w:rsid w:val="000C314D"/>
    <w:rsid w:val="000C366E"/>
    <w:rsid w:val="000C3CE5"/>
    <w:rsid w:val="000C4F5C"/>
    <w:rsid w:val="000E03B7"/>
    <w:rsid w:val="000E1D07"/>
    <w:rsid w:val="000E2F95"/>
    <w:rsid w:val="000E6727"/>
    <w:rsid w:val="000E729E"/>
    <w:rsid w:val="000F1248"/>
    <w:rsid w:val="000F2258"/>
    <w:rsid w:val="000F3C32"/>
    <w:rsid w:val="000F3C88"/>
    <w:rsid w:val="000F46E9"/>
    <w:rsid w:val="000F7751"/>
    <w:rsid w:val="001002F3"/>
    <w:rsid w:val="00101599"/>
    <w:rsid w:val="00105C4E"/>
    <w:rsid w:val="0011049E"/>
    <w:rsid w:val="00113722"/>
    <w:rsid w:val="001170F9"/>
    <w:rsid w:val="00117256"/>
    <w:rsid w:val="0012237A"/>
    <w:rsid w:val="001229BB"/>
    <w:rsid w:val="00122BE5"/>
    <w:rsid w:val="00122E25"/>
    <w:rsid w:val="001233D9"/>
    <w:rsid w:val="00132852"/>
    <w:rsid w:val="00133B3E"/>
    <w:rsid w:val="001341BD"/>
    <w:rsid w:val="00134EF1"/>
    <w:rsid w:val="001353AB"/>
    <w:rsid w:val="0013678C"/>
    <w:rsid w:val="001368AB"/>
    <w:rsid w:val="00136AD1"/>
    <w:rsid w:val="001413EA"/>
    <w:rsid w:val="00141515"/>
    <w:rsid w:val="00141AC4"/>
    <w:rsid w:val="00142E4A"/>
    <w:rsid w:val="001430DE"/>
    <w:rsid w:val="00143EE0"/>
    <w:rsid w:val="00145845"/>
    <w:rsid w:val="001504CC"/>
    <w:rsid w:val="00155BD6"/>
    <w:rsid w:val="00157F92"/>
    <w:rsid w:val="00160984"/>
    <w:rsid w:val="00163314"/>
    <w:rsid w:val="001644A5"/>
    <w:rsid w:val="00164D4C"/>
    <w:rsid w:val="001669A4"/>
    <w:rsid w:val="00166B9C"/>
    <w:rsid w:val="0017091C"/>
    <w:rsid w:val="00170A58"/>
    <w:rsid w:val="0017700D"/>
    <w:rsid w:val="001815EF"/>
    <w:rsid w:val="00184327"/>
    <w:rsid w:val="001849A5"/>
    <w:rsid w:val="0018774B"/>
    <w:rsid w:val="00191F89"/>
    <w:rsid w:val="001A0707"/>
    <w:rsid w:val="001A0AFC"/>
    <w:rsid w:val="001A4B80"/>
    <w:rsid w:val="001A4D91"/>
    <w:rsid w:val="001A52B1"/>
    <w:rsid w:val="001A64EE"/>
    <w:rsid w:val="001B1602"/>
    <w:rsid w:val="001C18C7"/>
    <w:rsid w:val="001C2F69"/>
    <w:rsid w:val="001C4C6C"/>
    <w:rsid w:val="001C5BC1"/>
    <w:rsid w:val="001C7016"/>
    <w:rsid w:val="001C7930"/>
    <w:rsid w:val="001D0A56"/>
    <w:rsid w:val="001D0F74"/>
    <w:rsid w:val="001D15BB"/>
    <w:rsid w:val="001D1A63"/>
    <w:rsid w:val="001D2829"/>
    <w:rsid w:val="001D5599"/>
    <w:rsid w:val="001D6823"/>
    <w:rsid w:val="001D74D2"/>
    <w:rsid w:val="001E0FE3"/>
    <w:rsid w:val="001E1897"/>
    <w:rsid w:val="001E1CEF"/>
    <w:rsid w:val="001E258B"/>
    <w:rsid w:val="001E3253"/>
    <w:rsid w:val="001E37D9"/>
    <w:rsid w:val="001E483D"/>
    <w:rsid w:val="001E73E2"/>
    <w:rsid w:val="001F1FC4"/>
    <w:rsid w:val="001F453E"/>
    <w:rsid w:val="001F4542"/>
    <w:rsid w:val="001F47FA"/>
    <w:rsid w:val="001F6803"/>
    <w:rsid w:val="001F6DFA"/>
    <w:rsid w:val="00200F0F"/>
    <w:rsid w:val="00201258"/>
    <w:rsid w:val="00202837"/>
    <w:rsid w:val="00204750"/>
    <w:rsid w:val="0020604A"/>
    <w:rsid w:val="00206C36"/>
    <w:rsid w:val="00207A87"/>
    <w:rsid w:val="00210E34"/>
    <w:rsid w:val="0021229F"/>
    <w:rsid w:val="00212A04"/>
    <w:rsid w:val="00214662"/>
    <w:rsid w:val="00214D2D"/>
    <w:rsid w:val="00215E77"/>
    <w:rsid w:val="0021770D"/>
    <w:rsid w:val="0022012E"/>
    <w:rsid w:val="0022231A"/>
    <w:rsid w:val="002305E1"/>
    <w:rsid w:val="00236654"/>
    <w:rsid w:val="0024075F"/>
    <w:rsid w:val="00242B93"/>
    <w:rsid w:val="00243281"/>
    <w:rsid w:val="00243337"/>
    <w:rsid w:val="002471AF"/>
    <w:rsid w:val="00247541"/>
    <w:rsid w:val="00247BD9"/>
    <w:rsid w:val="00251007"/>
    <w:rsid w:val="0025112D"/>
    <w:rsid w:val="0025164F"/>
    <w:rsid w:val="00252573"/>
    <w:rsid w:val="00254AC7"/>
    <w:rsid w:val="002565A4"/>
    <w:rsid w:val="00256F64"/>
    <w:rsid w:val="00257D00"/>
    <w:rsid w:val="0026371B"/>
    <w:rsid w:val="00263B53"/>
    <w:rsid w:val="0026410F"/>
    <w:rsid w:val="00264C41"/>
    <w:rsid w:val="00265A25"/>
    <w:rsid w:val="00265B50"/>
    <w:rsid w:val="00265E3C"/>
    <w:rsid w:val="00270602"/>
    <w:rsid w:val="00271360"/>
    <w:rsid w:val="00271844"/>
    <w:rsid w:val="00271B24"/>
    <w:rsid w:val="00273A1C"/>
    <w:rsid w:val="00273B19"/>
    <w:rsid w:val="0027509E"/>
    <w:rsid w:val="002776E6"/>
    <w:rsid w:val="00277D96"/>
    <w:rsid w:val="00281BED"/>
    <w:rsid w:val="00285301"/>
    <w:rsid w:val="00291305"/>
    <w:rsid w:val="00293A38"/>
    <w:rsid w:val="00294ED5"/>
    <w:rsid w:val="002A26C9"/>
    <w:rsid w:val="002A5041"/>
    <w:rsid w:val="002A615A"/>
    <w:rsid w:val="002B04C0"/>
    <w:rsid w:val="002B064B"/>
    <w:rsid w:val="002B49AE"/>
    <w:rsid w:val="002B6E58"/>
    <w:rsid w:val="002C0463"/>
    <w:rsid w:val="002C234E"/>
    <w:rsid w:val="002C2DE2"/>
    <w:rsid w:val="002C2E9F"/>
    <w:rsid w:val="002C524B"/>
    <w:rsid w:val="002D3889"/>
    <w:rsid w:val="002D46DC"/>
    <w:rsid w:val="002D5A12"/>
    <w:rsid w:val="002D6EC3"/>
    <w:rsid w:val="002E0CDC"/>
    <w:rsid w:val="002E326E"/>
    <w:rsid w:val="002E5149"/>
    <w:rsid w:val="002E7DA4"/>
    <w:rsid w:val="002F00A3"/>
    <w:rsid w:val="002F0855"/>
    <w:rsid w:val="002F206A"/>
    <w:rsid w:val="002F3FC8"/>
    <w:rsid w:val="002F5B31"/>
    <w:rsid w:val="002F5ECD"/>
    <w:rsid w:val="003031E7"/>
    <w:rsid w:val="00310263"/>
    <w:rsid w:val="003127A8"/>
    <w:rsid w:val="0031284F"/>
    <w:rsid w:val="00314347"/>
    <w:rsid w:val="00314833"/>
    <w:rsid w:val="00315592"/>
    <w:rsid w:val="00320FA6"/>
    <w:rsid w:val="00322222"/>
    <w:rsid w:val="00322E7C"/>
    <w:rsid w:val="003231CA"/>
    <w:rsid w:val="00324CA0"/>
    <w:rsid w:val="003257FD"/>
    <w:rsid w:val="00325BD9"/>
    <w:rsid w:val="00326B49"/>
    <w:rsid w:val="00327B2F"/>
    <w:rsid w:val="0033779E"/>
    <w:rsid w:val="00340E8D"/>
    <w:rsid w:val="003410EB"/>
    <w:rsid w:val="00341D40"/>
    <w:rsid w:val="00342EE3"/>
    <w:rsid w:val="00343614"/>
    <w:rsid w:val="00343B1F"/>
    <w:rsid w:val="003447D4"/>
    <w:rsid w:val="0034773A"/>
    <w:rsid w:val="00347D6A"/>
    <w:rsid w:val="00351E7A"/>
    <w:rsid w:val="00354091"/>
    <w:rsid w:val="0035767F"/>
    <w:rsid w:val="00357DF6"/>
    <w:rsid w:val="00361D00"/>
    <w:rsid w:val="00362CE5"/>
    <w:rsid w:val="003646BA"/>
    <w:rsid w:val="00364CCF"/>
    <w:rsid w:val="00366347"/>
    <w:rsid w:val="00370844"/>
    <w:rsid w:val="00370D32"/>
    <w:rsid w:val="00371528"/>
    <w:rsid w:val="003718C4"/>
    <w:rsid w:val="00373627"/>
    <w:rsid w:val="003753AD"/>
    <w:rsid w:val="00375B6D"/>
    <w:rsid w:val="003844D9"/>
    <w:rsid w:val="00384DF2"/>
    <w:rsid w:val="00385A77"/>
    <w:rsid w:val="0038664B"/>
    <w:rsid w:val="00386B84"/>
    <w:rsid w:val="003905DD"/>
    <w:rsid w:val="00390ECE"/>
    <w:rsid w:val="00394899"/>
    <w:rsid w:val="00394C1F"/>
    <w:rsid w:val="003A0219"/>
    <w:rsid w:val="003A0C74"/>
    <w:rsid w:val="003A18A0"/>
    <w:rsid w:val="003A44CF"/>
    <w:rsid w:val="003A451B"/>
    <w:rsid w:val="003A7BEC"/>
    <w:rsid w:val="003B05FE"/>
    <w:rsid w:val="003B19C6"/>
    <w:rsid w:val="003B427A"/>
    <w:rsid w:val="003B48DD"/>
    <w:rsid w:val="003B6A1D"/>
    <w:rsid w:val="003C1BB8"/>
    <w:rsid w:val="003C4431"/>
    <w:rsid w:val="003C496B"/>
    <w:rsid w:val="003C4CD3"/>
    <w:rsid w:val="003C4DF3"/>
    <w:rsid w:val="003C50ED"/>
    <w:rsid w:val="003D0944"/>
    <w:rsid w:val="003D23E0"/>
    <w:rsid w:val="003D2B40"/>
    <w:rsid w:val="003D40F7"/>
    <w:rsid w:val="003D6606"/>
    <w:rsid w:val="003E0BC7"/>
    <w:rsid w:val="003E358F"/>
    <w:rsid w:val="003F00D4"/>
    <w:rsid w:val="003F0712"/>
    <w:rsid w:val="003F1DFA"/>
    <w:rsid w:val="003F25AD"/>
    <w:rsid w:val="003F3624"/>
    <w:rsid w:val="003F38DF"/>
    <w:rsid w:val="003F3A86"/>
    <w:rsid w:val="003F3AFD"/>
    <w:rsid w:val="003F55BD"/>
    <w:rsid w:val="003F67D8"/>
    <w:rsid w:val="003F7670"/>
    <w:rsid w:val="00400CC2"/>
    <w:rsid w:val="00404356"/>
    <w:rsid w:val="004043B4"/>
    <w:rsid w:val="0040504C"/>
    <w:rsid w:val="00405253"/>
    <w:rsid w:val="004101A1"/>
    <w:rsid w:val="004121A9"/>
    <w:rsid w:val="00413E74"/>
    <w:rsid w:val="004146F2"/>
    <w:rsid w:val="0041537D"/>
    <w:rsid w:val="00415C1B"/>
    <w:rsid w:val="00416BCF"/>
    <w:rsid w:val="004206DC"/>
    <w:rsid w:val="00420814"/>
    <w:rsid w:val="0042142A"/>
    <w:rsid w:val="0042185B"/>
    <w:rsid w:val="00423829"/>
    <w:rsid w:val="004244F1"/>
    <w:rsid w:val="00425CB7"/>
    <w:rsid w:val="004268A1"/>
    <w:rsid w:val="0043000C"/>
    <w:rsid w:val="00430B94"/>
    <w:rsid w:val="00433813"/>
    <w:rsid w:val="00435750"/>
    <w:rsid w:val="00440A65"/>
    <w:rsid w:val="004476D5"/>
    <w:rsid w:val="00451582"/>
    <w:rsid w:val="00453078"/>
    <w:rsid w:val="00453D33"/>
    <w:rsid w:val="00455E9C"/>
    <w:rsid w:val="004563DD"/>
    <w:rsid w:val="00457B8F"/>
    <w:rsid w:val="004613A2"/>
    <w:rsid w:val="00464A1E"/>
    <w:rsid w:val="00471187"/>
    <w:rsid w:val="00471A8F"/>
    <w:rsid w:val="00471AA1"/>
    <w:rsid w:val="00474EDC"/>
    <w:rsid w:val="0047730E"/>
    <w:rsid w:val="00481AF5"/>
    <w:rsid w:val="00487A2D"/>
    <w:rsid w:val="00487F30"/>
    <w:rsid w:val="004905E4"/>
    <w:rsid w:val="004919C2"/>
    <w:rsid w:val="004934E7"/>
    <w:rsid w:val="00493BA9"/>
    <w:rsid w:val="00494E53"/>
    <w:rsid w:val="00495572"/>
    <w:rsid w:val="004A0D4C"/>
    <w:rsid w:val="004A2C35"/>
    <w:rsid w:val="004A4E7D"/>
    <w:rsid w:val="004A5E9C"/>
    <w:rsid w:val="004A75CB"/>
    <w:rsid w:val="004B019B"/>
    <w:rsid w:val="004B17F2"/>
    <w:rsid w:val="004B388A"/>
    <w:rsid w:val="004B47A0"/>
    <w:rsid w:val="004B4E6D"/>
    <w:rsid w:val="004B5C2E"/>
    <w:rsid w:val="004B5D96"/>
    <w:rsid w:val="004B6448"/>
    <w:rsid w:val="004B7314"/>
    <w:rsid w:val="004C0843"/>
    <w:rsid w:val="004C3E45"/>
    <w:rsid w:val="004C4FDC"/>
    <w:rsid w:val="004C5623"/>
    <w:rsid w:val="004C6609"/>
    <w:rsid w:val="004C683D"/>
    <w:rsid w:val="004C6C5F"/>
    <w:rsid w:val="004D113A"/>
    <w:rsid w:val="004D1255"/>
    <w:rsid w:val="004D5DB4"/>
    <w:rsid w:val="004D6723"/>
    <w:rsid w:val="004D7553"/>
    <w:rsid w:val="004E3C79"/>
    <w:rsid w:val="004E557E"/>
    <w:rsid w:val="004F023B"/>
    <w:rsid w:val="004F15BE"/>
    <w:rsid w:val="004F48E9"/>
    <w:rsid w:val="004F53C4"/>
    <w:rsid w:val="004F5789"/>
    <w:rsid w:val="0050199D"/>
    <w:rsid w:val="005032F3"/>
    <w:rsid w:val="0051536D"/>
    <w:rsid w:val="0052056D"/>
    <w:rsid w:val="00522123"/>
    <w:rsid w:val="00522FAF"/>
    <w:rsid w:val="005233B3"/>
    <w:rsid w:val="00525E5B"/>
    <w:rsid w:val="00526243"/>
    <w:rsid w:val="005264FB"/>
    <w:rsid w:val="005267F7"/>
    <w:rsid w:val="005274FC"/>
    <w:rsid w:val="00531C96"/>
    <w:rsid w:val="005333A4"/>
    <w:rsid w:val="00533B10"/>
    <w:rsid w:val="00534A79"/>
    <w:rsid w:val="005355FD"/>
    <w:rsid w:val="00537495"/>
    <w:rsid w:val="00537DF4"/>
    <w:rsid w:val="00537E01"/>
    <w:rsid w:val="00542E61"/>
    <w:rsid w:val="00545770"/>
    <w:rsid w:val="00546B6C"/>
    <w:rsid w:val="00546BAE"/>
    <w:rsid w:val="0054721C"/>
    <w:rsid w:val="0054723B"/>
    <w:rsid w:val="00550C8D"/>
    <w:rsid w:val="00553A98"/>
    <w:rsid w:val="00555060"/>
    <w:rsid w:val="00556221"/>
    <w:rsid w:val="005608FE"/>
    <w:rsid w:val="00566B10"/>
    <w:rsid w:val="00572266"/>
    <w:rsid w:val="00572FC0"/>
    <w:rsid w:val="005740A9"/>
    <w:rsid w:val="0057459A"/>
    <w:rsid w:val="00576067"/>
    <w:rsid w:val="005767D7"/>
    <w:rsid w:val="00576ADC"/>
    <w:rsid w:val="00576E90"/>
    <w:rsid w:val="0057719E"/>
    <w:rsid w:val="0058176A"/>
    <w:rsid w:val="00582B6E"/>
    <w:rsid w:val="00590BF0"/>
    <w:rsid w:val="00591ADF"/>
    <w:rsid w:val="005941EF"/>
    <w:rsid w:val="00594B1E"/>
    <w:rsid w:val="00595743"/>
    <w:rsid w:val="005A0C71"/>
    <w:rsid w:val="005A0E7E"/>
    <w:rsid w:val="005A24D6"/>
    <w:rsid w:val="005A2830"/>
    <w:rsid w:val="005A2D2A"/>
    <w:rsid w:val="005A30A7"/>
    <w:rsid w:val="005A4190"/>
    <w:rsid w:val="005B0AA0"/>
    <w:rsid w:val="005B4143"/>
    <w:rsid w:val="005C51DC"/>
    <w:rsid w:val="005C5707"/>
    <w:rsid w:val="005D0AA5"/>
    <w:rsid w:val="005D1D8D"/>
    <w:rsid w:val="005D2832"/>
    <w:rsid w:val="005D2F64"/>
    <w:rsid w:val="005E039B"/>
    <w:rsid w:val="005E2B7B"/>
    <w:rsid w:val="005E3AB6"/>
    <w:rsid w:val="005E4287"/>
    <w:rsid w:val="005E52CD"/>
    <w:rsid w:val="005E573E"/>
    <w:rsid w:val="005E5AA5"/>
    <w:rsid w:val="005E7795"/>
    <w:rsid w:val="005F0288"/>
    <w:rsid w:val="005F0C71"/>
    <w:rsid w:val="005F0F1E"/>
    <w:rsid w:val="005F1672"/>
    <w:rsid w:val="005F1C24"/>
    <w:rsid w:val="005F5C97"/>
    <w:rsid w:val="005F6079"/>
    <w:rsid w:val="00605F74"/>
    <w:rsid w:val="00607C48"/>
    <w:rsid w:val="006107CB"/>
    <w:rsid w:val="00611C86"/>
    <w:rsid w:val="006149E6"/>
    <w:rsid w:val="006155B4"/>
    <w:rsid w:val="00617D9C"/>
    <w:rsid w:val="00620D39"/>
    <w:rsid w:val="006225F7"/>
    <w:rsid w:val="006226F0"/>
    <w:rsid w:val="0062301E"/>
    <w:rsid w:val="00623510"/>
    <w:rsid w:val="00625456"/>
    <w:rsid w:val="00626798"/>
    <w:rsid w:val="0063279E"/>
    <w:rsid w:val="00633A0C"/>
    <w:rsid w:val="00634963"/>
    <w:rsid w:val="0063750D"/>
    <w:rsid w:val="00640F08"/>
    <w:rsid w:val="00645448"/>
    <w:rsid w:val="00646EDA"/>
    <w:rsid w:val="00651143"/>
    <w:rsid w:val="00651421"/>
    <w:rsid w:val="00651AD4"/>
    <w:rsid w:val="00653F88"/>
    <w:rsid w:val="00656DF7"/>
    <w:rsid w:val="0066079A"/>
    <w:rsid w:val="00661B3E"/>
    <w:rsid w:val="00663CE8"/>
    <w:rsid w:val="0066434F"/>
    <w:rsid w:val="006643E6"/>
    <w:rsid w:val="00664AF7"/>
    <w:rsid w:val="00665F84"/>
    <w:rsid w:val="006674B7"/>
    <w:rsid w:val="006710E2"/>
    <w:rsid w:val="006720B9"/>
    <w:rsid w:val="00682DEC"/>
    <w:rsid w:val="00690D41"/>
    <w:rsid w:val="00691C4F"/>
    <w:rsid w:val="00694EAA"/>
    <w:rsid w:val="006951BC"/>
    <w:rsid w:val="006A1F0E"/>
    <w:rsid w:val="006A398E"/>
    <w:rsid w:val="006A7B37"/>
    <w:rsid w:val="006B13A1"/>
    <w:rsid w:val="006B4FBA"/>
    <w:rsid w:val="006B64AA"/>
    <w:rsid w:val="006C0AFB"/>
    <w:rsid w:val="006C11CC"/>
    <w:rsid w:val="006C2AF4"/>
    <w:rsid w:val="006C3A0D"/>
    <w:rsid w:val="006C3F86"/>
    <w:rsid w:val="006C65FE"/>
    <w:rsid w:val="006D2BA3"/>
    <w:rsid w:val="006D35EA"/>
    <w:rsid w:val="006D6786"/>
    <w:rsid w:val="006E3339"/>
    <w:rsid w:val="006E6FAC"/>
    <w:rsid w:val="006F152B"/>
    <w:rsid w:val="006F20B6"/>
    <w:rsid w:val="006F2D13"/>
    <w:rsid w:val="006F382C"/>
    <w:rsid w:val="006F396F"/>
    <w:rsid w:val="00701FAD"/>
    <w:rsid w:val="00703D45"/>
    <w:rsid w:val="00705B82"/>
    <w:rsid w:val="00706562"/>
    <w:rsid w:val="007179A4"/>
    <w:rsid w:val="007212D4"/>
    <w:rsid w:val="00721BC4"/>
    <w:rsid w:val="00721C59"/>
    <w:rsid w:val="007225AB"/>
    <w:rsid w:val="00723821"/>
    <w:rsid w:val="00724079"/>
    <w:rsid w:val="00724D11"/>
    <w:rsid w:val="00725530"/>
    <w:rsid w:val="00725B77"/>
    <w:rsid w:val="00725C78"/>
    <w:rsid w:val="00726B1D"/>
    <w:rsid w:val="00726F2D"/>
    <w:rsid w:val="00727784"/>
    <w:rsid w:val="00730FCC"/>
    <w:rsid w:val="00731632"/>
    <w:rsid w:val="00731F82"/>
    <w:rsid w:val="007320FB"/>
    <w:rsid w:val="00732282"/>
    <w:rsid w:val="007335CA"/>
    <w:rsid w:val="0073396A"/>
    <w:rsid w:val="00733AE8"/>
    <w:rsid w:val="00734A6D"/>
    <w:rsid w:val="00740174"/>
    <w:rsid w:val="00740B88"/>
    <w:rsid w:val="00741CBA"/>
    <w:rsid w:val="007427BF"/>
    <w:rsid w:val="007439AC"/>
    <w:rsid w:val="0074682D"/>
    <w:rsid w:val="00747FF7"/>
    <w:rsid w:val="00750C3A"/>
    <w:rsid w:val="00751982"/>
    <w:rsid w:val="00755F03"/>
    <w:rsid w:val="007567D9"/>
    <w:rsid w:val="0075742A"/>
    <w:rsid w:val="0075774F"/>
    <w:rsid w:val="0076087D"/>
    <w:rsid w:val="007614DA"/>
    <w:rsid w:val="00761792"/>
    <w:rsid w:val="00762A61"/>
    <w:rsid w:val="0076394F"/>
    <w:rsid w:val="007641EB"/>
    <w:rsid w:val="007648B7"/>
    <w:rsid w:val="00765EFF"/>
    <w:rsid w:val="00766D5F"/>
    <w:rsid w:val="0077044F"/>
    <w:rsid w:val="007716CF"/>
    <w:rsid w:val="0077413B"/>
    <w:rsid w:val="00774340"/>
    <w:rsid w:val="00775BAA"/>
    <w:rsid w:val="00780102"/>
    <w:rsid w:val="0078210F"/>
    <w:rsid w:val="007903DD"/>
    <w:rsid w:val="00794336"/>
    <w:rsid w:val="0079495B"/>
    <w:rsid w:val="00795213"/>
    <w:rsid w:val="00796C3C"/>
    <w:rsid w:val="00796CF6"/>
    <w:rsid w:val="007974AA"/>
    <w:rsid w:val="007975EB"/>
    <w:rsid w:val="007A1909"/>
    <w:rsid w:val="007A2082"/>
    <w:rsid w:val="007A2733"/>
    <w:rsid w:val="007A29EA"/>
    <w:rsid w:val="007A5021"/>
    <w:rsid w:val="007A5D11"/>
    <w:rsid w:val="007A6B4C"/>
    <w:rsid w:val="007B41FF"/>
    <w:rsid w:val="007B471E"/>
    <w:rsid w:val="007B6003"/>
    <w:rsid w:val="007B7787"/>
    <w:rsid w:val="007B77EC"/>
    <w:rsid w:val="007B7ECE"/>
    <w:rsid w:val="007C348F"/>
    <w:rsid w:val="007C7AA9"/>
    <w:rsid w:val="007C7EF1"/>
    <w:rsid w:val="007D156A"/>
    <w:rsid w:val="007D5EDA"/>
    <w:rsid w:val="007D7E8D"/>
    <w:rsid w:val="007E04FE"/>
    <w:rsid w:val="007E17AA"/>
    <w:rsid w:val="007E1A10"/>
    <w:rsid w:val="007E401F"/>
    <w:rsid w:val="007E7C1E"/>
    <w:rsid w:val="007E7E27"/>
    <w:rsid w:val="007F0B3F"/>
    <w:rsid w:val="007F0C2C"/>
    <w:rsid w:val="007F1CF6"/>
    <w:rsid w:val="007F2855"/>
    <w:rsid w:val="007F39D0"/>
    <w:rsid w:val="007F4C09"/>
    <w:rsid w:val="007F52D8"/>
    <w:rsid w:val="00801435"/>
    <w:rsid w:val="00804843"/>
    <w:rsid w:val="0080488B"/>
    <w:rsid w:val="00805FEA"/>
    <w:rsid w:val="008104D6"/>
    <w:rsid w:val="00811439"/>
    <w:rsid w:val="00813AC2"/>
    <w:rsid w:val="00815732"/>
    <w:rsid w:val="0081574C"/>
    <w:rsid w:val="008164DF"/>
    <w:rsid w:val="00817A4A"/>
    <w:rsid w:val="00820CEA"/>
    <w:rsid w:val="00820EFA"/>
    <w:rsid w:val="00827AA5"/>
    <w:rsid w:val="00830DF8"/>
    <w:rsid w:val="0084003A"/>
    <w:rsid w:val="008436C4"/>
    <w:rsid w:val="00846028"/>
    <w:rsid w:val="00847830"/>
    <w:rsid w:val="008478B7"/>
    <w:rsid w:val="00850AF6"/>
    <w:rsid w:val="00850EDB"/>
    <w:rsid w:val="00851D11"/>
    <w:rsid w:val="00855DE1"/>
    <w:rsid w:val="008571AF"/>
    <w:rsid w:val="0086674E"/>
    <w:rsid w:val="008711CE"/>
    <w:rsid w:val="0087133A"/>
    <w:rsid w:val="00873C07"/>
    <w:rsid w:val="0087433F"/>
    <w:rsid w:val="008743B6"/>
    <w:rsid w:val="008772AF"/>
    <w:rsid w:val="008814F3"/>
    <w:rsid w:val="00882EA1"/>
    <w:rsid w:val="008839F1"/>
    <w:rsid w:val="008869D6"/>
    <w:rsid w:val="00890987"/>
    <w:rsid w:val="0089102E"/>
    <w:rsid w:val="00892E6F"/>
    <w:rsid w:val="008A2ADC"/>
    <w:rsid w:val="008A2F35"/>
    <w:rsid w:val="008A561F"/>
    <w:rsid w:val="008A6100"/>
    <w:rsid w:val="008A6F97"/>
    <w:rsid w:val="008A7FC2"/>
    <w:rsid w:val="008B0EFD"/>
    <w:rsid w:val="008B4774"/>
    <w:rsid w:val="008B6263"/>
    <w:rsid w:val="008B7D8E"/>
    <w:rsid w:val="008C11C5"/>
    <w:rsid w:val="008C4D64"/>
    <w:rsid w:val="008C59FF"/>
    <w:rsid w:val="008D0A10"/>
    <w:rsid w:val="008D159E"/>
    <w:rsid w:val="008D44A3"/>
    <w:rsid w:val="008D624B"/>
    <w:rsid w:val="008D6CF8"/>
    <w:rsid w:val="008E0634"/>
    <w:rsid w:val="008E402F"/>
    <w:rsid w:val="008E7DFD"/>
    <w:rsid w:val="008F39DF"/>
    <w:rsid w:val="008F6E6F"/>
    <w:rsid w:val="00900DB6"/>
    <w:rsid w:val="00902841"/>
    <w:rsid w:val="00902B98"/>
    <w:rsid w:val="00904A8F"/>
    <w:rsid w:val="009063A8"/>
    <w:rsid w:val="00907170"/>
    <w:rsid w:val="00907AA9"/>
    <w:rsid w:val="00912E88"/>
    <w:rsid w:val="00916603"/>
    <w:rsid w:val="00920795"/>
    <w:rsid w:val="009220E3"/>
    <w:rsid w:val="00923194"/>
    <w:rsid w:val="0092367D"/>
    <w:rsid w:val="009242A2"/>
    <w:rsid w:val="00924498"/>
    <w:rsid w:val="00925E97"/>
    <w:rsid w:val="00930976"/>
    <w:rsid w:val="0093133A"/>
    <w:rsid w:val="00931DEC"/>
    <w:rsid w:val="0093316A"/>
    <w:rsid w:val="0093530B"/>
    <w:rsid w:val="00936859"/>
    <w:rsid w:val="0094017D"/>
    <w:rsid w:val="0094025D"/>
    <w:rsid w:val="00942CFF"/>
    <w:rsid w:val="009433B1"/>
    <w:rsid w:val="00943FA3"/>
    <w:rsid w:val="00946218"/>
    <w:rsid w:val="009468C4"/>
    <w:rsid w:val="00950AD9"/>
    <w:rsid w:val="00950F5C"/>
    <w:rsid w:val="00951166"/>
    <w:rsid w:val="009614F1"/>
    <w:rsid w:val="0096184E"/>
    <w:rsid w:val="00961977"/>
    <w:rsid w:val="009622B3"/>
    <w:rsid w:val="00965BA0"/>
    <w:rsid w:val="00971BF6"/>
    <w:rsid w:val="00972152"/>
    <w:rsid w:val="00974897"/>
    <w:rsid w:val="00976438"/>
    <w:rsid w:val="00976C09"/>
    <w:rsid w:val="009779D1"/>
    <w:rsid w:val="009839D7"/>
    <w:rsid w:val="0098592C"/>
    <w:rsid w:val="0099121E"/>
    <w:rsid w:val="009935E5"/>
    <w:rsid w:val="00996364"/>
    <w:rsid w:val="00997B19"/>
    <w:rsid w:val="009A0B41"/>
    <w:rsid w:val="009A29B1"/>
    <w:rsid w:val="009A37D3"/>
    <w:rsid w:val="009A4C78"/>
    <w:rsid w:val="009A6B8A"/>
    <w:rsid w:val="009A6E48"/>
    <w:rsid w:val="009A7B3B"/>
    <w:rsid w:val="009B37AA"/>
    <w:rsid w:val="009B40F1"/>
    <w:rsid w:val="009B62D4"/>
    <w:rsid w:val="009B66AC"/>
    <w:rsid w:val="009C59A1"/>
    <w:rsid w:val="009C64C8"/>
    <w:rsid w:val="009C76D8"/>
    <w:rsid w:val="009D1EBB"/>
    <w:rsid w:val="009D3A94"/>
    <w:rsid w:val="009D4632"/>
    <w:rsid w:val="009D4724"/>
    <w:rsid w:val="009D5D92"/>
    <w:rsid w:val="009D69F7"/>
    <w:rsid w:val="009E23F5"/>
    <w:rsid w:val="009E6D0E"/>
    <w:rsid w:val="009E6E6D"/>
    <w:rsid w:val="009F0E1D"/>
    <w:rsid w:val="009F238E"/>
    <w:rsid w:val="009F29C9"/>
    <w:rsid w:val="009F77C1"/>
    <w:rsid w:val="009F79CE"/>
    <w:rsid w:val="00A0165A"/>
    <w:rsid w:val="00A01AC1"/>
    <w:rsid w:val="00A05752"/>
    <w:rsid w:val="00A1139B"/>
    <w:rsid w:val="00A125C3"/>
    <w:rsid w:val="00A131FC"/>
    <w:rsid w:val="00A14C68"/>
    <w:rsid w:val="00A14D25"/>
    <w:rsid w:val="00A15258"/>
    <w:rsid w:val="00A158EF"/>
    <w:rsid w:val="00A1695B"/>
    <w:rsid w:val="00A1709E"/>
    <w:rsid w:val="00A17B82"/>
    <w:rsid w:val="00A17CF1"/>
    <w:rsid w:val="00A226CF"/>
    <w:rsid w:val="00A23B74"/>
    <w:rsid w:val="00A254A1"/>
    <w:rsid w:val="00A259C6"/>
    <w:rsid w:val="00A25CCA"/>
    <w:rsid w:val="00A267E4"/>
    <w:rsid w:val="00A2756E"/>
    <w:rsid w:val="00A34370"/>
    <w:rsid w:val="00A36368"/>
    <w:rsid w:val="00A37A59"/>
    <w:rsid w:val="00A42FE6"/>
    <w:rsid w:val="00A4370A"/>
    <w:rsid w:val="00A44188"/>
    <w:rsid w:val="00A448C8"/>
    <w:rsid w:val="00A45F86"/>
    <w:rsid w:val="00A46A02"/>
    <w:rsid w:val="00A53022"/>
    <w:rsid w:val="00A6318C"/>
    <w:rsid w:val="00A63732"/>
    <w:rsid w:val="00A63BB7"/>
    <w:rsid w:val="00A657F0"/>
    <w:rsid w:val="00A65D13"/>
    <w:rsid w:val="00A6708F"/>
    <w:rsid w:val="00A6733E"/>
    <w:rsid w:val="00A70922"/>
    <w:rsid w:val="00A71AE8"/>
    <w:rsid w:val="00A726FD"/>
    <w:rsid w:val="00A754A4"/>
    <w:rsid w:val="00A7713B"/>
    <w:rsid w:val="00A774FC"/>
    <w:rsid w:val="00A82E8D"/>
    <w:rsid w:val="00A86634"/>
    <w:rsid w:val="00A8727E"/>
    <w:rsid w:val="00A90699"/>
    <w:rsid w:val="00A910C8"/>
    <w:rsid w:val="00A91A6D"/>
    <w:rsid w:val="00A91B11"/>
    <w:rsid w:val="00A939E2"/>
    <w:rsid w:val="00A96303"/>
    <w:rsid w:val="00AA2056"/>
    <w:rsid w:val="00AA2ECE"/>
    <w:rsid w:val="00AA3BCA"/>
    <w:rsid w:val="00AA3C3B"/>
    <w:rsid w:val="00AA4CD4"/>
    <w:rsid w:val="00AA4E51"/>
    <w:rsid w:val="00AA5448"/>
    <w:rsid w:val="00AA6460"/>
    <w:rsid w:val="00AA6785"/>
    <w:rsid w:val="00AA745D"/>
    <w:rsid w:val="00AB43FF"/>
    <w:rsid w:val="00AC18F6"/>
    <w:rsid w:val="00AC323A"/>
    <w:rsid w:val="00AC47FB"/>
    <w:rsid w:val="00AC5436"/>
    <w:rsid w:val="00AC7ADA"/>
    <w:rsid w:val="00AC7CB2"/>
    <w:rsid w:val="00AD1695"/>
    <w:rsid w:val="00AD5A52"/>
    <w:rsid w:val="00AD5A72"/>
    <w:rsid w:val="00AD76CB"/>
    <w:rsid w:val="00AD7A6B"/>
    <w:rsid w:val="00AE75A8"/>
    <w:rsid w:val="00AF092D"/>
    <w:rsid w:val="00AF1542"/>
    <w:rsid w:val="00AF272C"/>
    <w:rsid w:val="00AF50D6"/>
    <w:rsid w:val="00AF7CEF"/>
    <w:rsid w:val="00B0082E"/>
    <w:rsid w:val="00B00D23"/>
    <w:rsid w:val="00B03CE2"/>
    <w:rsid w:val="00B040AE"/>
    <w:rsid w:val="00B05E47"/>
    <w:rsid w:val="00B06793"/>
    <w:rsid w:val="00B106B3"/>
    <w:rsid w:val="00B110BC"/>
    <w:rsid w:val="00B11D9E"/>
    <w:rsid w:val="00B129EB"/>
    <w:rsid w:val="00B1736D"/>
    <w:rsid w:val="00B20B94"/>
    <w:rsid w:val="00B219AF"/>
    <w:rsid w:val="00B228DD"/>
    <w:rsid w:val="00B23455"/>
    <w:rsid w:val="00B24504"/>
    <w:rsid w:val="00B248EC"/>
    <w:rsid w:val="00B25D89"/>
    <w:rsid w:val="00B27F1F"/>
    <w:rsid w:val="00B32769"/>
    <w:rsid w:val="00B35FB8"/>
    <w:rsid w:val="00B463FB"/>
    <w:rsid w:val="00B514FE"/>
    <w:rsid w:val="00B52B37"/>
    <w:rsid w:val="00B53C3A"/>
    <w:rsid w:val="00B61E8C"/>
    <w:rsid w:val="00B64E6B"/>
    <w:rsid w:val="00B65841"/>
    <w:rsid w:val="00B65AFE"/>
    <w:rsid w:val="00B703E1"/>
    <w:rsid w:val="00B7078B"/>
    <w:rsid w:val="00B71C15"/>
    <w:rsid w:val="00B72F99"/>
    <w:rsid w:val="00B73DC0"/>
    <w:rsid w:val="00B74DE4"/>
    <w:rsid w:val="00B76825"/>
    <w:rsid w:val="00B76888"/>
    <w:rsid w:val="00B802D8"/>
    <w:rsid w:val="00B8667C"/>
    <w:rsid w:val="00B86948"/>
    <w:rsid w:val="00B87F47"/>
    <w:rsid w:val="00B92010"/>
    <w:rsid w:val="00B9355F"/>
    <w:rsid w:val="00B956B3"/>
    <w:rsid w:val="00B97076"/>
    <w:rsid w:val="00BA3A98"/>
    <w:rsid w:val="00BB1604"/>
    <w:rsid w:val="00BB1958"/>
    <w:rsid w:val="00BB219A"/>
    <w:rsid w:val="00BB41B8"/>
    <w:rsid w:val="00BB4CA2"/>
    <w:rsid w:val="00BB764C"/>
    <w:rsid w:val="00BB7FDA"/>
    <w:rsid w:val="00BC116D"/>
    <w:rsid w:val="00BC1F5C"/>
    <w:rsid w:val="00BC2269"/>
    <w:rsid w:val="00BC2496"/>
    <w:rsid w:val="00BC367E"/>
    <w:rsid w:val="00BC51D7"/>
    <w:rsid w:val="00BC5882"/>
    <w:rsid w:val="00BC6441"/>
    <w:rsid w:val="00BC6FA8"/>
    <w:rsid w:val="00BC7A35"/>
    <w:rsid w:val="00BD1708"/>
    <w:rsid w:val="00BD3A1D"/>
    <w:rsid w:val="00BD3CD2"/>
    <w:rsid w:val="00BD5460"/>
    <w:rsid w:val="00BD593F"/>
    <w:rsid w:val="00BD5D90"/>
    <w:rsid w:val="00BD6642"/>
    <w:rsid w:val="00BE47B6"/>
    <w:rsid w:val="00BF1659"/>
    <w:rsid w:val="00BF213E"/>
    <w:rsid w:val="00BF23B6"/>
    <w:rsid w:val="00BF4AA7"/>
    <w:rsid w:val="00BF6115"/>
    <w:rsid w:val="00BF6E91"/>
    <w:rsid w:val="00C01120"/>
    <w:rsid w:val="00C029E2"/>
    <w:rsid w:val="00C029F7"/>
    <w:rsid w:val="00C02CCD"/>
    <w:rsid w:val="00C0378A"/>
    <w:rsid w:val="00C04051"/>
    <w:rsid w:val="00C1018E"/>
    <w:rsid w:val="00C113E3"/>
    <w:rsid w:val="00C12373"/>
    <w:rsid w:val="00C12B3C"/>
    <w:rsid w:val="00C15310"/>
    <w:rsid w:val="00C158E8"/>
    <w:rsid w:val="00C17425"/>
    <w:rsid w:val="00C2010B"/>
    <w:rsid w:val="00C21519"/>
    <w:rsid w:val="00C24D13"/>
    <w:rsid w:val="00C271BD"/>
    <w:rsid w:val="00C302DD"/>
    <w:rsid w:val="00C31581"/>
    <w:rsid w:val="00C324EC"/>
    <w:rsid w:val="00C32933"/>
    <w:rsid w:val="00C37BCD"/>
    <w:rsid w:val="00C408CC"/>
    <w:rsid w:val="00C40EF3"/>
    <w:rsid w:val="00C410B6"/>
    <w:rsid w:val="00C41B68"/>
    <w:rsid w:val="00C439CD"/>
    <w:rsid w:val="00C454A5"/>
    <w:rsid w:val="00C50B65"/>
    <w:rsid w:val="00C5586F"/>
    <w:rsid w:val="00C561EB"/>
    <w:rsid w:val="00C563CD"/>
    <w:rsid w:val="00C567CE"/>
    <w:rsid w:val="00C60BAC"/>
    <w:rsid w:val="00C61AFB"/>
    <w:rsid w:val="00C639D9"/>
    <w:rsid w:val="00C63F1C"/>
    <w:rsid w:val="00C652A8"/>
    <w:rsid w:val="00C7001C"/>
    <w:rsid w:val="00C7109C"/>
    <w:rsid w:val="00C72B76"/>
    <w:rsid w:val="00C7452A"/>
    <w:rsid w:val="00C747B4"/>
    <w:rsid w:val="00C76973"/>
    <w:rsid w:val="00C77142"/>
    <w:rsid w:val="00C80DEA"/>
    <w:rsid w:val="00C810C3"/>
    <w:rsid w:val="00C844A0"/>
    <w:rsid w:val="00C84E12"/>
    <w:rsid w:val="00C86087"/>
    <w:rsid w:val="00C87845"/>
    <w:rsid w:val="00C901C7"/>
    <w:rsid w:val="00C90339"/>
    <w:rsid w:val="00C93795"/>
    <w:rsid w:val="00C93A98"/>
    <w:rsid w:val="00C94344"/>
    <w:rsid w:val="00C9765A"/>
    <w:rsid w:val="00CA1891"/>
    <w:rsid w:val="00CA2B7F"/>
    <w:rsid w:val="00CA54F0"/>
    <w:rsid w:val="00CB038E"/>
    <w:rsid w:val="00CB10D4"/>
    <w:rsid w:val="00CB28D6"/>
    <w:rsid w:val="00CB2ECC"/>
    <w:rsid w:val="00CB42EB"/>
    <w:rsid w:val="00CB678E"/>
    <w:rsid w:val="00CC11B6"/>
    <w:rsid w:val="00CC1C73"/>
    <w:rsid w:val="00CC1CCA"/>
    <w:rsid w:val="00CD02EB"/>
    <w:rsid w:val="00CD2004"/>
    <w:rsid w:val="00CD585C"/>
    <w:rsid w:val="00CD5CA3"/>
    <w:rsid w:val="00CD7781"/>
    <w:rsid w:val="00CE0B14"/>
    <w:rsid w:val="00CE12FD"/>
    <w:rsid w:val="00CE2E8A"/>
    <w:rsid w:val="00CE6414"/>
    <w:rsid w:val="00CF2F6E"/>
    <w:rsid w:val="00CF44DC"/>
    <w:rsid w:val="00D010D5"/>
    <w:rsid w:val="00D02E6D"/>
    <w:rsid w:val="00D03084"/>
    <w:rsid w:val="00D10617"/>
    <w:rsid w:val="00D12EAA"/>
    <w:rsid w:val="00D158BB"/>
    <w:rsid w:val="00D16C80"/>
    <w:rsid w:val="00D16CDE"/>
    <w:rsid w:val="00D207A8"/>
    <w:rsid w:val="00D20EC2"/>
    <w:rsid w:val="00D2459E"/>
    <w:rsid w:val="00D249A8"/>
    <w:rsid w:val="00D24CDE"/>
    <w:rsid w:val="00D2599D"/>
    <w:rsid w:val="00D27B17"/>
    <w:rsid w:val="00D32E37"/>
    <w:rsid w:val="00D35AB6"/>
    <w:rsid w:val="00D35D44"/>
    <w:rsid w:val="00D372C6"/>
    <w:rsid w:val="00D40585"/>
    <w:rsid w:val="00D4126E"/>
    <w:rsid w:val="00D438DF"/>
    <w:rsid w:val="00D44476"/>
    <w:rsid w:val="00D45FBC"/>
    <w:rsid w:val="00D46091"/>
    <w:rsid w:val="00D46E3B"/>
    <w:rsid w:val="00D5116C"/>
    <w:rsid w:val="00D51914"/>
    <w:rsid w:val="00D5276D"/>
    <w:rsid w:val="00D54F6B"/>
    <w:rsid w:val="00D566AD"/>
    <w:rsid w:val="00D57707"/>
    <w:rsid w:val="00D60179"/>
    <w:rsid w:val="00D608F9"/>
    <w:rsid w:val="00D6327D"/>
    <w:rsid w:val="00D6565B"/>
    <w:rsid w:val="00D66942"/>
    <w:rsid w:val="00D729B7"/>
    <w:rsid w:val="00D73E3E"/>
    <w:rsid w:val="00D81282"/>
    <w:rsid w:val="00D8216C"/>
    <w:rsid w:val="00D85313"/>
    <w:rsid w:val="00D869DE"/>
    <w:rsid w:val="00D91E83"/>
    <w:rsid w:val="00D92605"/>
    <w:rsid w:val="00D96076"/>
    <w:rsid w:val="00DA1809"/>
    <w:rsid w:val="00DA20BD"/>
    <w:rsid w:val="00DA316A"/>
    <w:rsid w:val="00DA3F75"/>
    <w:rsid w:val="00DA408A"/>
    <w:rsid w:val="00DA42E0"/>
    <w:rsid w:val="00DA461F"/>
    <w:rsid w:val="00DA5CEA"/>
    <w:rsid w:val="00DB2088"/>
    <w:rsid w:val="00DB2254"/>
    <w:rsid w:val="00DB2F1E"/>
    <w:rsid w:val="00DB42FA"/>
    <w:rsid w:val="00DB448B"/>
    <w:rsid w:val="00DB47EC"/>
    <w:rsid w:val="00DB5AEE"/>
    <w:rsid w:val="00DB7F45"/>
    <w:rsid w:val="00DC4B3A"/>
    <w:rsid w:val="00DC7A2E"/>
    <w:rsid w:val="00DC7FF1"/>
    <w:rsid w:val="00DD44A3"/>
    <w:rsid w:val="00DD4BCB"/>
    <w:rsid w:val="00DD51B6"/>
    <w:rsid w:val="00DD5D8F"/>
    <w:rsid w:val="00DD6D94"/>
    <w:rsid w:val="00DE0F9C"/>
    <w:rsid w:val="00DE3723"/>
    <w:rsid w:val="00DE59C8"/>
    <w:rsid w:val="00DE62B4"/>
    <w:rsid w:val="00DF0B3F"/>
    <w:rsid w:val="00DF0C75"/>
    <w:rsid w:val="00DF481F"/>
    <w:rsid w:val="00DF6294"/>
    <w:rsid w:val="00E02182"/>
    <w:rsid w:val="00E04F7A"/>
    <w:rsid w:val="00E05F22"/>
    <w:rsid w:val="00E0715D"/>
    <w:rsid w:val="00E07924"/>
    <w:rsid w:val="00E10CF6"/>
    <w:rsid w:val="00E117A8"/>
    <w:rsid w:val="00E1187E"/>
    <w:rsid w:val="00E138CB"/>
    <w:rsid w:val="00E1568E"/>
    <w:rsid w:val="00E15716"/>
    <w:rsid w:val="00E1591F"/>
    <w:rsid w:val="00E15FE7"/>
    <w:rsid w:val="00E17EDB"/>
    <w:rsid w:val="00E20E9B"/>
    <w:rsid w:val="00E212CD"/>
    <w:rsid w:val="00E229D5"/>
    <w:rsid w:val="00E23F3E"/>
    <w:rsid w:val="00E241A1"/>
    <w:rsid w:val="00E245A9"/>
    <w:rsid w:val="00E2709D"/>
    <w:rsid w:val="00E2771C"/>
    <w:rsid w:val="00E3050B"/>
    <w:rsid w:val="00E30573"/>
    <w:rsid w:val="00E325C6"/>
    <w:rsid w:val="00E332F5"/>
    <w:rsid w:val="00E33AA8"/>
    <w:rsid w:val="00E35CCF"/>
    <w:rsid w:val="00E35EA9"/>
    <w:rsid w:val="00E36672"/>
    <w:rsid w:val="00E37C30"/>
    <w:rsid w:val="00E37EFA"/>
    <w:rsid w:val="00E41063"/>
    <w:rsid w:val="00E430C4"/>
    <w:rsid w:val="00E4472D"/>
    <w:rsid w:val="00E45D18"/>
    <w:rsid w:val="00E4670D"/>
    <w:rsid w:val="00E47175"/>
    <w:rsid w:val="00E50DB0"/>
    <w:rsid w:val="00E54963"/>
    <w:rsid w:val="00E555D5"/>
    <w:rsid w:val="00E563E2"/>
    <w:rsid w:val="00E56533"/>
    <w:rsid w:val="00E56B35"/>
    <w:rsid w:val="00E61CE4"/>
    <w:rsid w:val="00E627B2"/>
    <w:rsid w:val="00E62D33"/>
    <w:rsid w:val="00E63321"/>
    <w:rsid w:val="00E6393A"/>
    <w:rsid w:val="00E63F0D"/>
    <w:rsid w:val="00E64151"/>
    <w:rsid w:val="00E6418B"/>
    <w:rsid w:val="00E64227"/>
    <w:rsid w:val="00E6616A"/>
    <w:rsid w:val="00E662E0"/>
    <w:rsid w:val="00E66765"/>
    <w:rsid w:val="00E66B43"/>
    <w:rsid w:val="00E703C0"/>
    <w:rsid w:val="00E70665"/>
    <w:rsid w:val="00E72763"/>
    <w:rsid w:val="00E75D77"/>
    <w:rsid w:val="00E76ACE"/>
    <w:rsid w:val="00E770AE"/>
    <w:rsid w:val="00E8130F"/>
    <w:rsid w:val="00E819F8"/>
    <w:rsid w:val="00E81D4A"/>
    <w:rsid w:val="00E82678"/>
    <w:rsid w:val="00E82806"/>
    <w:rsid w:val="00E833DF"/>
    <w:rsid w:val="00E86E94"/>
    <w:rsid w:val="00E91512"/>
    <w:rsid w:val="00E926C7"/>
    <w:rsid w:val="00E93513"/>
    <w:rsid w:val="00E95446"/>
    <w:rsid w:val="00E9744D"/>
    <w:rsid w:val="00EA3978"/>
    <w:rsid w:val="00EA4A57"/>
    <w:rsid w:val="00EA6422"/>
    <w:rsid w:val="00EA695D"/>
    <w:rsid w:val="00EA6BC1"/>
    <w:rsid w:val="00EB0668"/>
    <w:rsid w:val="00EB2AD3"/>
    <w:rsid w:val="00EB30E7"/>
    <w:rsid w:val="00EB35EF"/>
    <w:rsid w:val="00EB6E6F"/>
    <w:rsid w:val="00EB6F90"/>
    <w:rsid w:val="00EC2581"/>
    <w:rsid w:val="00EC3187"/>
    <w:rsid w:val="00EC6F1B"/>
    <w:rsid w:val="00ED072C"/>
    <w:rsid w:val="00ED18C4"/>
    <w:rsid w:val="00ED1CBB"/>
    <w:rsid w:val="00ED29C8"/>
    <w:rsid w:val="00ED5AFD"/>
    <w:rsid w:val="00ED6363"/>
    <w:rsid w:val="00EE3A09"/>
    <w:rsid w:val="00EE62B4"/>
    <w:rsid w:val="00EE6906"/>
    <w:rsid w:val="00EF10BB"/>
    <w:rsid w:val="00EF2E2D"/>
    <w:rsid w:val="00EF635A"/>
    <w:rsid w:val="00F04342"/>
    <w:rsid w:val="00F049FA"/>
    <w:rsid w:val="00F056EF"/>
    <w:rsid w:val="00F0572B"/>
    <w:rsid w:val="00F05B8D"/>
    <w:rsid w:val="00F05EEA"/>
    <w:rsid w:val="00F10FCF"/>
    <w:rsid w:val="00F14E65"/>
    <w:rsid w:val="00F15464"/>
    <w:rsid w:val="00F22AF0"/>
    <w:rsid w:val="00F24B61"/>
    <w:rsid w:val="00F25351"/>
    <w:rsid w:val="00F32997"/>
    <w:rsid w:val="00F3329F"/>
    <w:rsid w:val="00F354DE"/>
    <w:rsid w:val="00F36501"/>
    <w:rsid w:val="00F36CFF"/>
    <w:rsid w:val="00F404D0"/>
    <w:rsid w:val="00F40FE3"/>
    <w:rsid w:val="00F4255B"/>
    <w:rsid w:val="00F43551"/>
    <w:rsid w:val="00F44AB2"/>
    <w:rsid w:val="00F44AE2"/>
    <w:rsid w:val="00F51982"/>
    <w:rsid w:val="00F548CD"/>
    <w:rsid w:val="00F559D2"/>
    <w:rsid w:val="00F57C66"/>
    <w:rsid w:val="00F57ED6"/>
    <w:rsid w:val="00F605BB"/>
    <w:rsid w:val="00F61A0A"/>
    <w:rsid w:val="00F66866"/>
    <w:rsid w:val="00F67907"/>
    <w:rsid w:val="00F703AC"/>
    <w:rsid w:val="00F70DD4"/>
    <w:rsid w:val="00F72DF5"/>
    <w:rsid w:val="00F75D65"/>
    <w:rsid w:val="00F7670C"/>
    <w:rsid w:val="00F767E0"/>
    <w:rsid w:val="00F81166"/>
    <w:rsid w:val="00F839D1"/>
    <w:rsid w:val="00F84DBA"/>
    <w:rsid w:val="00F854CA"/>
    <w:rsid w:val="00F85D4B"/>
    <w:rsid w:val="00F91633"/>
    <w:rsid w:val="00F922E0"/>
    <w:rsid w:val="00F92595"/>
    <w:rsid w:val="00F94A29"/>
    <w:rsid w:val="00F95264"/>
    <w:rsid w:val="00F96C97"/>
    <w:rsid w:val="00F979EB"/>
    <w:rsid w:val="00FA7B0E"/>
    <w:rsid w:val="00FB1660"/>
    <w:rsid w:val="00FB1784"/>
    <w:rsid w:val="00FB26F3"/>
    <w:rsid w:val="00FB2E5D"/>
    <w:rsid w:val="00FB5039"/>
    <w:rsid w:val="00FB600F"/>
    <w:rsid w:val="00FB6E78"/>
    <w:rsid w:val="00FB74E0"/>
    <w:rsid w:val="00FC0F1C"/>
    <w:rsid w:val="00FC4B73"/>
    <w:rsid w:val="00FC5D12"/>
    <w:rsid w:val="00FC6CE9"/>
    <w:rsid w:val="00FD06BF"/>
    <w:rsid w:val="00FD138C"/>
    <w:rsid w:val="00FD34F1"/>
    <w:rsid w:val="00FD4796"/>
    <w:rsid w:val="00FD5A9A"/>
    <w:rsid w:val="00FD5F84"/>
    <w:rsid w:val="00FE0206"/>
    <w:rsid w:val="00FE3DFE"/>
    <w:rsid w:val="00FE49BC"/>
    <w:rsid w:val="00FE622B"/>
    <w:rsid w:val="00FF1BC5"/>
    <w:rsid w:val="00FF3D0C"/>
    <w:rsid w:val="00FF5A04"/>
    <w:rsid w:val="00FF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E7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4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A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785"/>
  </w:style>
  <w:style w:type="paragraph" w:styleId="Pieddepage">
    <w:name w:val="footer"/>
    <w:basedOn w:val="Normal"/>
    <w:link w:val="PieddepageCar"/>
    <w:uiPriority w:val="99"/>
    <w:unhideWhenUsed/>
    <w:rsid w:val="00AA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785"/>
  </w:style>
  <w:style w:type="character" w:styleId="Marquedecommentaire">
    <w:name w:val="annotation reference"/>
    <w:basedOn w:val="Policepardfaut"/>
    <w:uiPriority w:val="99"/>
    <w:semiHidden/>
    <w:unhideWhenUsed/>
    <w:rsid w:val="00C101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1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01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1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18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18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36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36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362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1483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330D-0DF7-4939-A95A-7BB72EDC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1249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SRA-ZOUABI</dc:creator>
  <cp:lastModifiedBy>SRA-ZOUABI</cp:lastModifiedBy>
  <cp:revision>94</cp:revision>
  <cp:lastPrinted>2016-12-16T11:48:00Z</cp:lastPrinted>
  <dcterms:created xsi:type="dcterms:W3CDTF">2016-06-30T12:57:00Z</dcterms:created>
  <dcterms:modified xsi:type="dcterms:W3CDTF">2016-12-29T13:13:00Z</dcterms:modified>
</cp:coreProperties>
</file>